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9" w:rsidRDefault="00ED2379">
      <w:pPr>
        <w:pStyle w:val="BodyText"/>
        <w:spacing w:before="3" w:after="1"/>
        <w:rPr>
          <w:rFonts w:ascii="Times New Roman"/>
          <w:sz w:val="19"/>
        </w:rPr>
      </w:pPr>
    </w:p>
    <w:p w:rsidR="00ED2379" w:rsidRDefault="00790F74">
      <w:pPr>
        <w:pStyle w:val="BodyText"/>
        <w:ind w:left="157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" o:spid="_x0000_s1026" style="width:315.3pt;height:48.5pt;mso-position-horizontal-relative:char;mso-position-vertical-relative:line" coordsize="6306,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2963;top:73;width:3300;height:828">
              <v:imagedata r:id="rId7" o:title=""/>
            </v:shape>
            <v:shape id="docshape6" o:spid="_x0000_s1029" type="#_x0000_t75" alt="ix100" style="position:absolute;left:114;top:46;width:3183;height:876">
              <v:imagedata r:id="rId8" o:title=""/>
            </v:shape>
            <v:rect id="docshape7" o:spid="_x0000_s1028" style="position:absolute;left:35;top:35;width:6232;height:900" filled="f" strokecolor="white" strokeweight="3.5pt"/>
            <v:rect id="docshape8" o:spid="_x0000_s1027" style="position:absolute;left:53;top:29;width:6243;height:916" filled="f" strokeweight="1pt"/>
            <w10:wrap type="none"/>
            <w10:anchorlock/>
          </v:group>
        </w:pict>
      </w:r>
    </w:p>
    <w:p w:rsidR="00ED2379" w:rsidRDefault="00ED2379">
      <w:pPr>
        <w:pStyle w:val="BodyText"/>
        <w:spacing w:before="126"/>
        <w:rPr>
          <w:rFonts w:ascii="Times New Roman"/>
          <w:sz w:val="32"/>
        </w:rPr>
      </w:pPr>
    </w:p>
    <w:p w:rsidR="00412D21" w:rsidRDefault="00985D18" w:rsidP="00985D18">
      <w:pPr>
        <w:spacing w:before="1"/>
        <w:jc w:val="center"/>
        <w:rPr>
          <w:b/>
          <w:sz w:val="32"/>
        </w:rPr>
      </w:pPr>
      <w:r>
        <w:rPr>
          <w:b/>
          <w:sz w:val="32"/>
        </w:rPr>
        <w:t>Produs de curățare biciclete</w:t>
      </w:r>
      <w:r w:rsidR="00412D21">
        <w:rPr>
          <w:b/>
          <w:sz w:val="32"/>
        </w:rPr>
        <w:t>, biciclete electrice</w:t>
      </w:r>
      <w:r>
        <w:rPr>
          <w:b/>
          <w:sz w:val="32"/>
        </w:rPr>
        <w:t xml:space="preserve"> </w:t>
      </w:r>
    </w:p>
    <w:p w:rsidR="00ED2379" w:rsidRDefault="00985D18" w:rsidP="00985D18">
      <w:pPr>
        <w:spacing w:before="1"/>
        <w:jc w:val="center"/>
        <w:rPr>
          <w:b/>
          <w:sz w:val="32"/>
        </w:rPr>
      </w:pPr>
      <w:r>
        <w:rPr>
          <w:b/>
          <w:sz w:val="32"/>
        </w:rPr>
        <w:t>și alte vehicule cu 2 roți</w:t>
      </w: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7171"/>
      </w:tblGrid>
      <w:tr w:rsidR="00ED2379">
        <w:trPr>
          <w:trHeight w:val="665"/>
        </w:trPr>
        <w:tc>
          <w:tcPr>
            <w:tcW w:w="2747" w:type="dxa"/>
          </w:tcPr>
          <w:p w:rsidR="00ED2379" w:rsidRDefault="00985D18" w:rsidP="00985D18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b/>
              </w:rPr>
            </w:pPr>
            <w:r>
              <w:rPr>
                <w:b/>
              </w:rPr>
              <w:t>Descriere produs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7171" w:type="dxa"/>
          </w:tcPr>
          <w:p w:rsidR="00ED2379" w:rsidRDefault="00994657" w:rsidP="00EE57B2">
            <w:pPr>
              <w:pStyle w:val="TableParagraph"/>
              <w:spacing w:line="242" w:lineRule="auto"/>
              <w:ind w:left="274" w:right="654"/>
            </w:pPr>
            <w:r>
              <w:t xml:space="preserve">BRUNOX® BIKE-WASHER </w:t>
            </w:r>
            <w:r w:rsidR="00EE57B2">
              <w:t xml:space="preserve">este un agent de curățare universal pentru toate tipurile de biciclete și alte vehicule cu două roți. </w:t>
            </w:r>
          </w:p>
        </w:tc>
      </w:tr>
      <w:tr w:rsidR="00ED2379">
        <w:trPr>
          <w:trHeight w:val="3154"/>
        </w:trPr>
        <w:tc>
          <w:tcPr>
            <w:tcW w:w="2747" w:type="dxa"/>
          </w:tcPr>
          <w:p w:rsidR="00ED2379" w:rsidRDefault="00985D18" w:rsidP="00985D18">
            <w:pPr>
              <w:pStyle w:val="TableParagraph"/>
              <w:numPr>
                <w:ilvl w:val="0"/>
                <w:numId w:val="2"/>
              </w:numPr>
              <w:spacing w:before="158"/>
              <w:rPr>
                <w:b/>
              </w:rPr>
            </w:pPr>
            <w:r>
              <w:rPr>
                <w:b/>
              </w:rPr>
              <w:t>Acțiune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7171" w:type="dxa"/>
          </w:tcPr>
          <w:p w:rsidR="00ED2379" w:rsidRDefault="00EE57B2">
            <w:pPr>
              <w:pStyle w:val="TableParagraph"/>
              <w:spacing w:before="158"/>
              <w:ind w:left="281" w:right="4"/>
            </w:pPr>
            <w:r>
              <w:t xml:space="preserve">Datorită formulei cu gel, agentul de curățare aderă și la suprafețele vertical și îndepărtează chiar și cea mai dificilă murdărie precum uleiuri, grăsimi, cruste și reziduuri, fără a lăsa vreo urmă. </w:t>
            </w:r>
          </w:p>
          <w:p w:rsidR="00ED2379" w:rsidRDefault="00ED2379">
            <w:pPr>
              <w:pStyle w:val="TableParagraph"/>
              <w:spacing w:before="1"/>
              <w:rPr>
                <w:b/>
              </w:rPr>
            </w:pPr>
          </w:p>
          <w:p w:rsidR="00ED2379" w:rsidRDefault="00EE57B2">
            <w:pPr>
              <w:pStyle w:val="TableParagraph"/>
              <w:ind w:left="281" w:right="4"/>
            </w:pPr>
            <w:r>
              <w:t xml:space="preserve">Chiar și lanțurile, pinioanele și casetele vor fi strălucitor de curate din nou. </w:t>
            </w:r>
          </w:p>
          <w:p w:rsidR="00ED2379" w:rsidRDefault="00994657">
            <w:pPr>
              <w:pStyle w:val="TableParagraph"/>
              <w:spacing w:before="252"/>
              <w:ind w:left="281" w:right="4"/>
            </w:pPr>
            <w:r>
              <w:rPr>
                <w:b/>
              </w:rPr>
              <w:t>BRUNOX®BIKE-WASHER</w:t>
            </w:r>
            <w:r w:rsidR="008326AC">
              <w:rPr>
                <w:b/>
              </w:rPr>
              <w:t xml:space="preserve"> </w:t>
            </w:r>
            <w:r w:rsidR="008326AC" w:rsidRPr="008326AC">
              <w:t>este</w:t>
            </w:r>
            <w:r w:rsidR="008326AC">
              <w:t xml:space="preserve"> compatibil cu toate tipurile de materiale datorită formulei sale delicate cu gel. </w:t>
            </w:r>
          </w:p>
          <w:p w:rsidR="00ED2379" w:rsidRDefault="00ED2379">
            <w:pPr>
              <w:pStyle w:val="TableParagraph"/>
              <w:spacing w:before="1"/>
              <w:rPr>
                <w:b/>
              </w:rPr>
            </w:pPr>
          </w:p>
          <w:p w:rsidR="00ED2379" w:rsidRDefault="008326AC" w:rsidP="008326AC">
            <w:pPr>
              <w:pStyle w:val="TableParagraph"/>
              <w:tabs>
                <w:tab w:val="left" w:pos="7218"/>
              </w:tabs>
              <w:ind w:left="281" w:right="-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highlight w:val="black"/>
              </w:rPr>
              <w:t xml:space="preserve">Utilizarea regulată asigură protecție împotriva coroziunii. </w:t>
            </w:r>
            <w:r w:rsidR="00994657">
              <w:rPr>
                <w:b/>
                <w:color w:val="FFFFFF"/>
                <w:sz w:val="28"/>
                <w:highlight w:val="black"/>
              </w:rPr>
              <w:tab/>
            </w:r>
          </w:p>
        </w:tc>
      </w:tr>
      <w:tr w:rsidR="00ED2379">
        <w:trPr>
          <w:trHeight w:val="3293"/>
        </w:trPr>
        <w:tc>
          <w:tcPr>
            <w:tcW w:w="2747" w:type="dxa"/>
          </w:tcPr>
          <w:p w:rsidR="00ED2379" w:rsidRDefault="00985D18" w:rsidP="00985D18">
            <w:pPr>
              <w:pStyle w:val="TableParagraph"/>
              <w:numPr>
                <w:ilvl w:val="0"/>
                <w:numId w:val="2"/>
              </w:numPr>
              <w:spacing w:before="136"/>
              <w:rPr>
                <w:b/>
              </w:rPr>
            </w:pPr>
            <w:r>
              <w:rPr>
                <w:b/>
                <w:spacing w:val="-2"/>
              </w:rPr>
              <w:t>Mod de utilizare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7171" w:type="dxa"/>
          </w:tcPr>
          <w:p w:rsidR="00ED2379" w:rsidRDefault="008326AC">
            <w:pPr>
              <w:pStyle w:val="TableParagraph"/>
              <w:spacing w:before="136" w:line="278" w:lineRule="auto"/>
              <w:ind w:left="281" w:right="4"/>
            </w:pPr>
            <w:r>
              <w:t xml:space="preserve">Pulverizați bicicleta cu </w:t>
            </w:r>
            <w:r w:rsidR="00994657">
              <w:rPr>
                <w:b/>
              </w:rPr>
              <w:t>BRUNOX®BIKE-WASHER</w:t>
            </w:r>
            <w:r w:rsidR="00994657">
              <w:t>.</w:t>
            </w:r>
            <w:r>
              <w:t xml:space="preserve"> După 5 -</w:t>
            </w:r>
            <w:r w:rsidR="00994657">
              <w:t xml:space="preserve">10 minute, </w:t>
            </w:r>
            <w:r>
              <w:t xml:space="preserve">clătiți din abundență cu un jet puternic de apă </w:t>
            </w:r>
            <w:r w:rsidR="00994657">
              <w:t>(</w:t>
            </w:r>
            <w:r>
              <w:t>nu utilizați un aparat cu presiune ridicată</w:t>
            </w:r>
            <w:r w:rsidR="00994657">
              <w:t>).</w:t>
            </w:r>
          </w:p>
          <w:p w:rsidR="00ED2379" w:rsidRDefault="008326AC">
            <w:pPr>
              <w:pStyle w:val="TableParagraph"/>
              <w:spacing w:before="192" w:line="278" w:lineRule="auto"/>
              <w:ind w:left="281" w:right="4"/>
            </w:pPr>
            <w:r>
              <w:t xml:space="preserve">În cazul în care vehiculul este foarte murder, mai întâi clătiți-l cu un jet slab de apă, apoi pulverizați </w:t>
            </w:r>
            <w:r w:rsidR="00994657">
              <w:t>BRUNOX®BIKE-WASHER</w:t>
            </w:r>
            <w:r>
              <w:t xml:space="preserve"> și așteptați puțin mai lung. </w:t>
            </w:r>
          </w:p>
          <w:p w:rsidR="00ED2379" w:rsidRDefault="00BD136D">
            <w:pPr>
              <w:pStyle w:val="TableParagraph"/>
              <w:spacing w:before="195"/>
              <w:ind w:left="281"/>
            </w:pPr>
            <w:r>
              <w:t xml:space="preserve">Pentru curățare puteți folosi și un burete sau o perie. </w:t>
            </w:r>
          </w:p>
          <w:p w:rsidR="00ED2379" w:rsidRDefault="00BD136D" w:rsidP="00BD136D">
            <w:pPr>
              <w:pStyle w:val="TableParagraph"/>
              <w:spacing w:before="240"/>
              <w:ind w:left="281"/>
            </w:pPr>
            <w:r>
              <w:t xml:space="preserve">Lubrifiați lanțul curat cu </w:t>
            </w:r>
            <w:r w:rsidR="00994657">
              <w:t>BRUNOX®Top</w:t>
            </w:r>
            <w:r w:rsidR="009D0096">
              <w:rPr>
                <w:spacing w:val="-2"/>
              </w:rPr>
              <w:t>-Kett</w:t>
            </w:r>
            <w:r w:rsidR="00994657">
              <w:rPr>
                <w:spacing w:val="-2"/>
              </w:rPr>
              <w:t>®.</w:t>
            </w:r>
          </w:p>
        </w:tc>
      </w:tr>
      <w:tr w:rsidR="00ED2379">
        <w:trPr>
          <w:trHeight w:val="1650"/>
        </w:trPr>
        <w:tc>
          <w:tcPr>
            <w:tcW w:w="2747" w:type="dxa"/>
          </w:tcPr>
          <w:p w:rsidR="00ED2379" w:rsidRDefault="00ED2379">
            <w:pPr>
              <w:pStyle w:val="TableParagraph"/>
              <w:spacing w:before="3"/>
              <w:rPr>
                <w:b/>
              </w:rPr>
            </w:pPr>
          </w:p>
          <w:p w:rsidR="00ED2379" w:rsidRDefault="00985D18" w:rsidP="00985D18">
            <w:pPr>
              <w:pStyle w:val="Table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pacing w:val="-2"/>
              </w:rPr>
              <w:t>Toleranță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7171" w:type="dxa"/>
          </w:tcPr>
          <w:p w:rsidR="00ED2379" w:rsidRDefault="00ED2379">
            <w:pPr>
              <w:pStyle w:val="TableParagraph"/>
              <w:spacing w:before="3"/>
              <w:rPr>
                <w:b/>
              </w:rPr>
            </w:pPr>
          </w:p>
          <w:p w:rsidR="00ED2379" w:rsidRDefault="00BD136D">
            <w:pPr>
              <w:pStyle w:val="TableParagraph"/>
              <w:ind w:left="281" w:right="4"/>
            </w:pPr>
            <w:r>
              <w:t xml:space="preserve">Este compatibil cu toate materialele, precum suprafețele din carbonși plastic, aluminiu, vopseluri mate etc. </w:t>
            </w:r>
          </w:p>
          <w:p w:rsidR="00ED2379" w:rsidRDefault="00ED2379">
            <w:pPr>
              <w:pStyle w:val="TableParagraph"/>
              <w:rPr>
                <w:b/>
              </w:rPr>
            </w:pPr>
          </w:p>
          <w:p w:rsidR="00ED2379" w:rsidRDefault="00BD136D" w:rsidP="00BD136D">
            <w:pPr>
              <w:pStyle w:val="TableParagraph"/>
              <w:ind w:left="281" w:right="4"/>
            </w:pPr>
            <w:r>
              <w:rPr>
                <w:b/>
              </w:rPr>
              <w:t>Atenție</w:t>
            </w:r>
            <w:r w:rsidR="00994657">
              <w:rPr>
                <w:b/>
              </w:rPr>
              <w:t>!</w:t>
            </w:r>
            <w:r>
              <w:rPr>
                <w:b/>
              </w:rPr>
              <w:t xml:space="preserve"> </w:t>
            </w:r>
            <w:r w:rsidRPr="00BD136D">
              <w:t xml:space="preserve">Nu utilizați </w:t>
            </w:r>
            <w:r w:rsidR="00994657" w:rsidRPr="00BD136D">
              <w:t>BRUNOX</w:t>
            </w:r>
            <w:r w:rsidR="00994657">
              <w:t>®BIKE-WASHER</w:t>
            </w:r>
            <w:r>
              <w:t xml:space="preserve"> sub acțiunea direct a razelor soarelui sau pe suprafețe încinse. </w:t>
            </w:r>
          </w:p>
        </w:tc>
      </w:tr>
      <w:tr w:rsidR="00ED2379">
        <w:trPr>
          <w:trHeight w:val="1159"/>
        </w:trPr>
        <w:tc>
          <w:tcPr>
            <w:tcW w:w="2747" w:type="dxa"/>
          </w:tcPr>
          <w:p w:rsidR="00ED2379" w:rsidRDefault="00985D18" w:rsidP="00985D18">
            <w:pPr>
              <w:pStyle w:val="TableParagraph"/>
              <w:numPr>
                <w:ilvl w:val="0"/>
                <w:numId w:val="2"/>
              </w:numPr>
              <w:spacing w:before="123"/>
              <w:rPr>
                <w:b/>
              </w:rPr>
            </w:pPr>
            <w:r>
              <w:rPr>
                <w:b/>
              </w:rPr>
              <w:t>Interacțiunea cu mediul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7171" w:type="dxa"/>
          </w:tcPr>
          <w:p w:rsidR="00ED2379" w:rsidRDefault="00BD136D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23"/>
              <w:ind w:left="414" w:hanging="133"/>
              <w:rPr>
                <w:b/>
                <w:sz w:val="20"/>
              </w:rPr>
            </w:pPr>
            <w:r>
              <w:t>nu conține nanoparticule</w:t>
            </w:r>
          </w:p>
          <w:p w:rsidR="00ED2379" w:rsidRDefault="00BD136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38"/>
              <w:ind w:left="417" w:hanging="136"/>
            </w:pPr>
            <w:r>
              <w:t xml:space="preserve">biodegradabil conform criteriilor </w:t>
            </w:r>
            <w:r w:rsidR="00994657">
              <w:t>OECD</w:t>
            </w:r>
          </w:p>
          <w:p w:rsidR="00ED2379" w:rsidRDefault="00BD136D" w:rsidP="00BD136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39" w:line="233" w:lineRule="exact"/>
              <w:ind w:left="417" w:hanging="136"/>
            </w:pPr>
            <w:r>
              <w:t xml:space="preserve">nu necesită etichetare conform Regulamentului </w:t>
            </w:r>
            <w:r w:rsidR="00994657">
              <w:t>CLP</w:t>
            </w:r>
            <w:r w:rsidR="00994657">
              <w:rPr>
                <w:spacing w:val="-2"/>
              </w:rPr>
              <w:t>.</w:t>
            </w:r>
          </w:p>
        </w:tc>
      </w:tr>
    </w:tbl>
    <w:p w:rsidR="00ED2379" w:rsidRDefault="00ED2379">
      <w:pPr>
        <w:spacing w:line="233" w:lineRule="exact"/>
        <w:sectPr w:rsidR="00ED2379">
          <w:headerReference w:type="default" r:id="rId9"/>
          <w:footerReference w:type="default" r:id="rId10"/>
          <w:type w:val="continuous"/>
          <w:pgSz w:w="11910" w:h="16840"/>
          <w:pgMar w:top="2000" w:right="660" w:bottom="1140" w:left="1120" w:header="344" w:footer="957" w:gutter="0"/>
          <w:pgNumType w:start="1"/>
          <w:cols w:space="720"/>
        </w:sect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0"/>
        <w:gridCol w:w="3684"/>
        <w:gridCol w:w="3083"/>
      </w:tblGrid>
      <w:tr w:rsidR="00ED2379">
        <w:trPr>
          <w:trHeight w:val="440"/>
        </w:trPr>
        <w:tc>
          <w:tcPr>
            <w:tcW w:w="2450" w:type="dxa"/>
          </w:tcPr>
          <w:p w:rsidR="00ED2379" w:rsidRDefault="00BD136D" w:rsidP="00BD136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b/>
              </w:rPr>
            </w:pPr>
            <w:r>
              <w:rPr>
                <w:b/>
              </w:rPr>
              <w:t>Dimensiun</w:t>
            </w:r>
            <w:r w:rsidR="00994657">
              <w:rPr>
                <w:b/>
                <w:spacing w:val="-4"/>
              </w:rPr>
              <w:t>e</w:t>
            </w:r>
            <w:r>
              <w:rPr>
                <w:b/>
                <w:spacing w:val="-4"/>
              </w:rPr>
              <w:t xml:space="preserve"> container</w:t>
            </w:r>
            <w:r w:rsidR="00994657">
              <w:rPr>
                <w:b/>
                <w:spacing w:val="-4"/>
              </w:rPr>
              <w:t>:</w:t>
            </w:r>
          </w:p>
        </w:tc>
        <w:tc>
          <w:tcPr>
            <w:tcW w:w="3684" w:type="dxa"/>
          </w:tcPr>
          <w:p w:rsidR="00ED2379" w:rsidRDefault="00BD136D">
            <w:pPr>
              <w:pStyle w:val="TableParagraph"/>
              <w:spacing w:line="247" w:lineRule="exact"/>
              <w:ind w:left="578"/>
            </w:pPr>
            <w:r>
              <w:t>Sticlă cu pulverizator</w:t>
            </w:r>
            <w:r w:rsidR="00994657">
              <w:t>:</w:t>
            </w:r>
            <w:r>
              <w:t xml:space="preserve"> </w:t>
            </w:r>
            <w:r w:rsidR="00994657">
              <w:t>1000</w:t>
            </w:r>
            <w:r w:rsidR="00994657">
              <w:rPr>
                <w:spacing w:val="-5"/>
              </w:rPr>
              <w:t>ml</w:t>
            </w:r>
          </w:p>
        </w:tc>
        <w:tc>
          <w:tcPr>
            <w:tcW w:w="3083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2379">
        <w:trPr>
          <w:trHeight w:val="554"/>
        </w:trPr>
        <w:tc>
          <w:tcPr>
            <w:tcW w:w="2450" w:type="dxa"/>
          </w:tcPr>
          <w:p w:rsidR="00ED2379" w:rsidRDefault="00BD136D" w:rsidP="00BD136D">
            <w:pPr>
              <w:pStyle w:val="TableParagraph"/>
              <w:numPr>
                <w:ilvl w:val="0"/>
                <w:numId w:val="2"/>
              </w:numPr>
              <w:spacing w:before="187"/>
              <w:rPr>
                <w:b/>
              </w:rPr>
            </w:pPr>
            <w:r>
              <w:rPr>
                <w:b/>
                <w:spacing w:val="-2"/>
              </w:rPr>
              <w:t>Specificații tehnice</w:t>
            </w:r>
            <w:r w:rsidR="00994657">
              <w:rPr>
                <w:b/>
                <w:spacing w:val="-2"/>
              </w:rPr>
              <w:t>:</w:t>
            </w:r>
          </w:p>
        </w:tc>
        <w:tc>
          <w:tcPr>
            <w:tcW w:w="3684" w:type="dxa"/>
          </w:tcPr>
          <w:p w:rsidR="00ED2379" w:rsidRDefault="00BD136D">
            <w:pPr>
              <w:pStyle w:val="TableParagraph"/>
              <w:spacing w:before="187"/>
              <w:ind w:left="578"/>
            </w:pPr>
            <w:r>
              <w:rPr>
                <w:spacing w:val="-2"/>
              </w:rPr>
              <w:t>Aspect</w:t>
            </w:r>
            <w:r w:rsidR="00994657">
              <w:rPr>
                <w:spacing w:val="-2"/>
              </w:rPr>
              <w:t>:</w:t>
            </w:r>
          </w:p>
        </w:tc>
        <w:tc>
          <w:tcPr>
            <w:tcW w:w="3083" w:type="dxa"/>
          </w:tcPr>
          <w:p w:rsidR="00ED2379" w:rsidRDefault="00994657" w:rsidP="00BD136D">
            <w:pPr>
              <w:pStyle w:val="TableParagraph"/>
              <w:spacing w:before="187"/>
              <w:ind w:left="418"/>
            </w:pPr>
            <w:r>
              <w:t>transparent,</w:t>
            </w:r>
            <w:r w:rsidR="00BD136D">
              <w:rPr>
                <w:spacing w:val="-2"/>
              </w:rPr>
              <w:t xml:space="preserve"> portcaliu</w:t>
            </w:r>
          </w:p>
        </w:tc>
      </w:tr>
      <w:tr w:rsidR="00ED2379">
        <w:trPr>
          <w:trHeight w:val="450"/>
        </w:trPr>
        <w:tc>
          <w:tcPr>
            <w:tcW w:w="2450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ED2379" w:rsidRDefault="00BD136D">
            <w:pPr>
              <w:pStyle w:val="TableParagraph"/>
              <w:spacing w:before="107"/>
              <w:ind w:left="578"/>
            </w:pPr>
            <w:r>
              <w:rPr>
                <w:spacing w:val="-2"/>
              </w:rPr>
              <w:t>Miros</w:t>
            </w:r>
            <w:r w:rsidR="00994657">
              <w:rPr>
                <w:spacing w:val="-2"/>
              </w:rPr>
              <w:t>:</w:t>
            </w:r>
          </w:p>
        </w:tc>
        <w:tc>
          <w:tcPr>
            <w:tcW w:w="3083" w:type="dxa"/>
          </w:tcPr>
          <w:p w:rsidR="00ED2379" w:rsidRDefault="00BD136D" w:rsidP="00BD136D">
            <w:pPr>
              <w:pStyle w:val="TableParagraph"/>
              <w:spacing w:before="107"/>
              <w:ind w:left="418"/>
            </w:pPr>
            <w:r>
              <w:t>Citric</w:t>
            </w:r>
            <w:r w:rsidR="00994657">
              <w:t>,</w:t>
            </w:r>
            <w:r>
              <w:t xml:space="preserve"> </w:t>
            </w:r>
            <w:r>
              <w:rPr>
                <w:spacing w:val="-2"/>
              </w:rPr>
              <w:t>Lămâie</w:t>
            </w:r>
          </w:p>
        </w:tc>
      </w:tr>
      <w:tr w:rsidR="00ED2379">
        <w:trPr>
          <w:trHeight w:val="418"/>
        </w:trPr>
        <w:tc>
          <w:tcPr>
            <w:tcW w:w="2450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ED2379" w:rsidRDefault="00BD136D" w:rsidP="00BD136D">
            <w:pPr>
              <w:pStyle w:val="TableParagraph"/>
              <w:spacing w:before="82"/>
              <w:ind w:left="578"/>
            </w:pPr>
            <w:r>
              <w:t>Valoare PH(la</w:t>
            </w:r>
            <w:r w:rsidR="00994657">
              <w:t>20</w:t>
            </w:r>
            <w:r w:rsidR="00994657">
              <w:rPr>
                <w:spacing w:val="-5"/>
              </w:rPr>
              <w:t>°C)</w:t>
            </w:r>
          </w:p>
        </w:tc>
        <w:tc>
          <w:tcPr>
            <w:tcW w:w="3083" w:type="dxa"/>
          </w:tcPr>
          <w:p w:rsidR="00ED2379" w:rsidRDefault="00994657">
            <w:pPr>
              <w:pStyle w:val="TableParagraph"/>
              <w:spacing w:before="82"/>
              <w:ind w:left="418"/>
            </w:pPr>
            <w:r>
              <w:rPr>
                <w:spacing w:val="-4"/>
              </w:rPr>
              <w:t>9.00</w:t>
            </w:r>
          </w:p>
        </w:tc>
      </w:tr>
      <w:tr w:rsidR="00ED2379">
        <w:trPr>
          <w:trHeight w:val="411"/>
        </w:trPr>
        <w:tc>
          <w:tcPr>
            <w:tcW w:w="2450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ED2379" w:rsidRDefault="00BD136D" w:rsidP="00BD136D">
            <w:pPr>
              <w:pStyle w:val="TableParagraph"/>
              <w:spacing w:before="76"/>
              <w:ind w:left="578"/>
            </w:pPr>
            <w:r>
              <w:t xml:space="preserve">Densitate la </w:t>
            </w:r>
            <w:r w:rsidR="00994657">
              <w:t>20</w:t>
            </w:r>
            <w:r w:rsidR="00994657">
              <w:rPr>
                <w:spacing w:val="-5"/>
              </w:rPr>
              <w:t>°C</w:t>
            </w:r>
          </w:p>
        </w:tc>
        <w:tc>
          <w:tcPr>
            <w:tcW w:w="3083" w:type="dxa"/>
          </w:tcPr>
          <w:p w:rsidR="00ED2379" w:rsidRDefault="00994657">
            <w:pPr>
              <w:pStyle w:val="TableParagraph"/>
              <w:spacing w:before="76"/>
              <w:ind w:left="418"/>
            </w:pPr>
            <w:r>
              <w:t>1.02g/cm³(8.5119</w:t>
            </w:r>
            <w:r>
              <w:rPr>
                <w:spacing w:val="-2"/>
              </w:rPr>
              <w:t xml:space="preserve"> lbs/gal)</w:t>
            </w:r>
          </w:p>
        </w:tc>
      </w:tr>
      <w:tr w:rsidR="00ED2379">
        <w:trPr>
          <w:trHeight w:val="412"/>
        </w:trPr>
        <w:tc>
          <w:tcPr>
            <w:tcW w:w="2450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ED2379" w:rsidRDefault="00412D21">
            <w:pPr>
              <w:pStyle w:val="TableParagraph"/>
              <w:spacing w:before="75"/>
              <w:ind w:left="578"/>
            </w:pPr>
            <w:r>
              <w:t xml:space="preserve">Presiune vapori la </w:t>
            </w:r>
            <w:r w:rsidR="00994657">
              <w:t>20</w:t>
            </w:r>
            <w:r w:rsidR="00994657">
              <w:rPr>
                <w:spacing w:val="-5"/>
              </w:rPr>
              <w:t xml:space="preserve"> °C</w:t>
            </w:r>
          </w:p>
        </w:tc>
        <w:tc>
          <w:tcPr>
            <w:tcW w:w="3083" w:type="dxa"/>
          </w:tcPr>
          <w:p w:rsidR="00ED2379" w:rsidRDefault="00994657">
            <w:pPr>
              <w:pStyle w:val="TableParagraph"/>
              <w:spacing w:before="75"/>
              <w:ind w:left="418"/>
            </w:pPr>
            <w:r>
              <w:t>23.4hPa(17.6mm</w:t>
            </w:r>
            <w:r>
              <w:rPr>
                <w:spacing w:val="-5"/>
              </w:rPr>
              <w:t>Hg)</w:t>
            </w:r>
          </w:p>
        </w:tc>
      </w:tr>
      <w:tr w:rsidR="00ED2379">
        <w:trPr>
          <w:trHeight w:val="585"/>
        </w:trPr>
        <w:tc>
          <w:tcPr>
            <w:tcW w:w="2450" w:type="dxa"/>
          </w:tcPr>
          <w:p w:rsidR="00ED2379" w:rsidRDefault="00ED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ED2379" w:rsidRDefault="00412D21">
            <w:pPr>
              <w:pStyle w:val="TableParagraph"/>
              <w:spacing w:before="59" w:line="250" w:lineRule="atLeast"/>
              <w:ind w:left="578"/>
            </w:pPr>
            <w:r>
              <w:t>Solubilitate în/ miscibilitate în apă</w:t>
            </w:r>
            <w:r w:rsidR="00994657">
              <w:rPr>
                <w:spacing w:val="-2"/>
              </w:rPr>
              <w:t>:</w:t>
            </w:r>
          </w:p>
        </w:tc>
        <w:tc>
          <w:tcPr>
            <w:tcW w:w="3083" w:type="dxa"/>
          </w:tcPr>
          <w:p w:rsidR="00ED2379" w:rsidRDefault="00412D21">
            <w:pPr>
              <w:pStyle w:val="TableParagraph"/>
              <w:spacing w:before="77"/>
              <w:ind w:left="418"/>
              <w:rPr>
                <w:sz w:val="20"/>
              </w:rPr>
            </w:pPr>
            <w:r>
              <w:rPr>
                <w:sz w:val="20"/>
              </w:rPr>
              <w:t>Complet miscibil</w:t>
            </w:r>
            <w:r w:rsidR="00994657">
              <w:rPr>
                <w:spacing w:val="-2"/>
                <w:sz w:val="20"/>
              </w:rPr>
              <w:t>.</w:t>
            </w:r>
          </w:p>
        </w:tc>
      </w:tr>
    </w:tbl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ED2379">
      <w:pPr>
        <w:pStyle w:val="BodyText"/>
        <w:rPr>
          <w:b/>
          <w:sz w:val="20"/>
        </w:rPr>
      </w:pPr>
    </w:p>
    <w:p w:rsidR="00ED2379" w:rsidRDefault="00994657">
      <w:pPr>
        <w:pStyle w:val="BodyText"/>
        <w:spacing w:before="34"/>
        <w:rPr>
          <w:b/>
          <w:sz w:val="20"/>
        </w:rPr>
      </w:pPr>
      <w:r>
        <w:rPr>
          <w:noProof/>
          <w:lang w:eastAsia="ja-JP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809043</wp:posOffset>
            </wp:positionH>
            <wp:positionV relativeFrom="paragraph">
              <wp:posOffset>182972</wp:posOffset>
            </wp:positionV>
            <wp:extent cx="4054174" cy="6286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17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379" w:rsidRPr="00412D21" w:rsidRDefault="00412D21" w:rsidP="00412D21">
      <w:pPr>
        <w:pStyle w:val="BodyText"/>
        <w:spacing w:before="48"/>
        <w:rPr>
          <w:b/>
          <w:sz w:val="28"/>
          <w:szCs w:val="28"/>
        </w:rPr>
      </w:pPr>
      <w:r w:rsidRPr="00412D21">
        <w:rPr>
          <w:b/>
          <w:sz w:val="28"/>
          <w:szCs w:val="28"/>
        </w:rPr>
        <w:t>Produs de curățare biciclete, biciclete electrice și alte vehicule cu 2 roți</w:t>
      </w:r>
    </w:p>
    <w:p w:rsidR="00412D21" w:rsidRDefault="00412D21">
      <w:pPr>
        <w:ind w:left="226"/>
        <w:rPr>
          <w:b/>
          <w:sz w:val="24"/>
        </w:rPr>
      </w:pPr>
    </w:p>
    <w:p w:rsidR="00ED2379" w:rsidRDefault="00994657">
      <w:pPr>
        <w:ind w:left="226"/>
        <w:rPr>
          <w:b/>
          <w:sz w:val="24"/>
        </w:rPr>
      </w:pPr>
      <w:r>
        <w:rPr>
          <w:b/>
          <w:sz w:val="24"/>
        </w:rPr>
        <w:t>BRUNOXAG,Tunnelstrasse6,CH–8732</w:t>
      </w:r>
      <w:r>
        <w:rPr>
          <w:b/>
          <w:spacing w:val="-2"/>
          <w:sz w:val="24"/>
        </w:rPr>
        <w:t>Neuhaus/SG,</w:t>
      </w:r>
    </w:p>
    <w:p w:rsidR="00ED2379" w:rsidRDefault="00994657">
      <w:pPr>
        <w:ind w:left="226"/>
        <w:rPr>
          <w:b/>
          <w:sz w:val="24"/>
        </w:rPr>
      </w:pPr>
      <w:r>
        <w:rPr>
          <w:b/>
          <w:sz w:val="24"/>
        </w:rPr>
        <w:t>BRUNOXCorrosionProtectionGmbH,P.O.Box100127,DE –85001</w:t>
      </w:r>
      <w:r>
        <w:rPr>
          <w:b/>
          <w:spacing w:val="-2"/>
          <w:sz w:val="24"/>
        </w:rPr>
        <w:t>Ingolstadt</w:t>
      </w:r>
    </w:p>
    <w:p w:rsidR="00A01136" w:rsidRDefault="00A01136" w:rsidP="00A01136">
      <w:pPr>
        <w:pStyle w:val="BodyText"/>
        <w:spacing w:before="183"/>
        <w:ind w:left="226" w:right="478"/>
      </w:pPr>
      <w:r>
        <w:t xml:space="preserve">Informația conținută în acest document se bazează pe cunoștințele și experiența noastră actuale. Nu îi absolvă pe procesatori de obligați de a testa produsul înainte de utilizare, dat fiind multitudinea de factori care pot influența procesarea și aplicarea produsului nostru. Fără acceptul prealabil al BRUNOX AG / GmbH, nicio parte a acestei publicații nu poate fi utilizată electronic, copiată mecanic, reproddusă, transmisă sau stocată. Această fișă tehnică și conținutul său  (informația) constituie proprietate intelectuală a BRUNOX AG / GmbH. Nu se acordă licențe; informația este destinată exclusiv informării în legătură cu produsul corespunzător. Drepturile de proprietate intelectuală aparțin BRUNOX AG / GmbH. Informația se poate modifica fără notificare prealabilă, înlocuind toate specificațiile tehnice furnizate anterior. BRUNOX AG / GmbH nu își asumă nicio răspundere pentru corectitudinea sau caracterul complet și nu acceptă nicio răspundere pentru daunele materile sau imateriale provocate de utilizarea sau neutilizarea informațiilor prezentate sau a utilizării incorecte sau incomplete a informațiilor. Procesatorii trebuie să verifice informația și produsul conform scopului lor. Aceștia nu trebuie să facă supoziții privind caracterul adecvat pe baza informațiilor incluse sau omise. BRUNOX AG / GmbH nu își asumă răspunderea pentru pierderea sau deteriorarea rezultată din încrederea în informația prezentată și utlizarea ei (inclusiv răspunderea rezultată din negllijență sau în cazul în care BRUNOX AG / GmbH avea cunoștință că o astfel de posiilitate există). Răspunderea BRUNOX AG / GmbH rămâne neafectată în caz de deces sau vătămare corporală rezultate din neglijență.  </w:t>
      </w:r>
    </w:p>
    <w:p w:rsidR="00A01136" w:rsidRDefault="00A01136" w:rsidP="00A01136">
      <w:pPr>
        <w:pStyle w:val="BodyText"/>
        <w:spacing w:before="183"/>
        <w:ind w:left="226" w:right="478"/>
      </w:pPr>
    </w:p>
    <w:p w:rsidR="00ED2379" w:rsidRDefault="00A01136" w:rsidP="00A01136">
      <w:pPr>
        <w:pStyle w:val="BodyText"/>
        <w:spacing w:before="183"/>
        <w:ind w:left="226" w:right="478"/>
      </w:pPr>
      <w:r>
        <w:t>BRUNOX ® este o marcă înregistrată a BRUNOX AG Switzerland.</w:t>
      </w:r>
    </w:p>
    <w:sectPr w:rsidR="00ED2379" w:rsidSect="00ED2379">
      <w:pgSz w:w="11910" w:h="16840"/>
      <w:pgMar w:top="2000" w:right="660" w:bottom="1140" w:left="1120" w:header="344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F1" w:rsidRDefault="002569F1" w:rsidP="00ED2379">
      <w:r>
        <w:separator/>
      </w:r>
    </w:p>
  </w:endnote>
  <w:endnote w:type="continuationSeparator" w:id="1">
    <w:p w:rsidR="002569F1" w:rsidRDefault="002569F1" w:rsidP="00ED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79" w:rsidRDefault="00790F74">
    <w:pPr>
      <w:pStyle w:val="BodyText"/>
      <w:spacing w:line="14" w:lineRule="auto"/>
      <w:rPr>
        <w:sz w:val="20"/>
      </w:rPr>
    </w:pPr>
    <w:r w:rsidRPr="00790F74">
      <w:pict>
        <v:shape id="docshape1" o:spid="_x0000_s2051" style="position:absolute;margin-left:.75pt;margin-top:785.15pt;width:594pt;height:11.5pt;z-index:-15826432;mso-position-horizontal-relative:page;mso-position-vertical-relative:page" coordorigin="15,15703" coordsize="11880,230" o:spt="100" adj="0,,0" path="m11895,15933r-611,l11284,15703r-610,m15,15933r10315,l10330,15703r344,m11895,15933r-611,l11284,15703r-610,m15,15933r10315,l10330,15703r344,e" filled="f" strokecolor="#a4a4a4">
          <v:stroke joinstyle="round"/>
          <v:formulas/>
          <v:path arrowok="t" o:connecttype="segments"/>
          <w10:wrap anchorx="page" anchory="page"/>
        </v:shape>
      </w:pict>
    </w:r>
    <w:r w:rsidRPr="00790F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2.35pt;margin-top:783.1pt;width:211.25pt;height:13.05pt;z-index:-15825920;mso-position-horizontal-relative:page;mso-position-vertical-relative:page" filled="f" stroked="f">
          <v:textbox inset="0,0,0,0">
            <w:txbxContent>
              <w:p w:rsidR="00ED2379" w:rsidRDefault="00994657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TechnicalDataSheetBRUNOX®BIKE-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WASHER</w:t>
                </w:r>
              </w:p>
            </w:txbxContent>
          </v:textbox>
          <w10:wrap anchorx="page" anchory="page"/>
        </v:shape>
      </w:pict>
    </w:r>
    <w:r w:rsidRPr="00790F74">
      <w:pict>
        <v:shape id="docshape3" o:spid="_x0000_s2049" type="#_x0000_t202" style="position:absolute;margin-left:534.95pt;margin-top:785.35pt;width:12pt;height:13.05pt;z-index:-15825408;mso-position-horizontal-relative:page;mso-position-vertical-relative:page" filled="f" stroked="f">
          <v:textbox inset="0,0,0,0">
            <w:txbxContent>
              <w:p w:rsidR="00ED2379" w:rsidRDefault="00790F7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begin"/>
                </w:r>
                <w:r w:rsidR="00994657">
                  <w:rPr>
                    <w:rFonts w:ascii="Times New Roman"/>
                    <w:color w:val="8B8B8B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separate"/>
                </w:r>
                <w:r w:rsidR="009D0096">
                  <w:rPr>
                    <w:rFonts w:ascii="Times New Roman"/>
                    <w:noProof/>
                    <w:color w:val="8B8B8B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F1" w:rsidRDefault="002569F1" w:rsidP="00ED2379">
      <w:r>
        <w:separator/>
      </w:r>
    </w:p>
  </w:footnote>
  <w:footnote w:type="continuationSeparator" w:id="1">
    <w:p w:rsidR="002569F1" w:rsidRDefault="002569F1" w:rsidP="00ED2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79" w:rsidRDefault="00994657">
    <w:pPr>
      <w:pStyle w:val="BodyText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487489536" behindDoc="1" locked="0" layoutInCell="1" allowOverlap="1">
          <wp:simplePos x="0" y="0"/>
          <wp:positionH relativeFrom="page">
            <wp:posOffset>5717</wp:posOffset>
          </wp:positionH>
          <wp:positionV relativeFrom="page">
            <wp:posOffset>218439</wp:posOffset>
          </wp:positionV>
          <wp:extent cx="7554847" cy="6230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847" cy="62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B5A"/>
    <w:multiLevelType w:val="hybridMultilevel"/>
    <w:tmpl w:val="42807B06"/>
    <w:lvl w:ilvl="0" w:tplc="7F242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515561FB"/>
    <w:multiLevelType w:val="hybridMultilevel"/>
    <w:tmpl w:val="28BC1932"/>
    <w:lvl w:ilvl="0" w:tplc="D30AADBE">
      <w:numFmt w:val="bullet"/>
      <w:lvlText w:val="-"/>
      <w:lvlJc w:val="left"/>
      <w:pPr>
        <w:ind w:left="41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3CB616">
      <w:numFmt w:val="bullet"/>
      <w:lvlText w:val="•"/>
      <w:lvlJc w:val="left"/>
      <w:pPr>
        <w:ind w:left="1095" w:hanging="135"/>
      </w:pPr>
      <w:rPr>
        <w:rFonts w:hint="default"/>
        <w:lang w:val="en-US" w:eastAsia="en-US" w:bidi="ar-SA"/>
      </w:rPr>
    </w:lvl>
    <w:lvl w:ilvl="2" w:tplc="E1285DAA">
      <w:numFmt w:val="bullet"/>
      <w:lvlText w:val="•"/>
      <w:lvlJc w:val="left"/>
      <w:pPr>
        <w:ind w:left="1770" w:hanging="135"/>
      </w:pPr>
      <w:rPr>
        <w:rFonts w:hint="default"/>
        <w:lang w:val="en-US" w:eastAsia="en-US" w:bidi="ar-SA"/>
      </w:rPr>
    </w:lvl>
    <w:lvl w:ilvl="3" w:tplc="CCC07AA8">
      <w:numFmt w:val="bullet"/>
      <w:lvlText w:val="•"/>
      <w:lvlJc w:val="left"/>
      <w:pPr>
        <w:ind w:left="2445" w:hanging="135"/>
      </w:pPr>
      <w:rPr>
        <w:rFonts w:hint="default"/>
        <w:lang w:val="en-US" w:eastAsia="en-US" w:bidi="ar-SA"/>
      </w:rPr>
    </w:lvl>
    <w:lvl w:ilvl="4" w:tplc="0D8CF090">
      <w:numFmt w:val="bullet"/>
      <w:lvlText w:val="•"/>
      <w:lvlJc w:val="left"/>
      <w:pPr>
        <w:ind w:left="3120" w:hanging="135"/>
      </w:pPr>
      <w:rPr>
        <w:rFonts w:hint="default"/>
        <w:lang w:val="en-US" w:eastAsia="en-US" w:bidi="ar-SA"/>
      </w:rPr>
    </w:lvl>
    <w:lvl w:ilvl="5" w:tplc="7718672E">
      <w:numFmt w:val="bullet"/>
      <w:lvlText w:val="•"/>
      <w:lvlJc w:val="left"/>
      <w:pPr>
        <w:ind w:left="3795" w:hanging="135"/>
      </w:pPr>
      <w:rPr>
        <w:rFonts w:hint="default"/>
        <w:lang w:val="en-US" w:eastAsia="en-US" w:bidi="ar-SA"/>
      </w:rPr>
    </w:lvl>
    <w:lvl w:ilvl="6" w:tplc="EDA8D308">
      <w:numFmt w:val="bullet"/>
      <w:lvlText w:val="•"/>
      <w:lvlJc w:val="left"/>
      <w:pPr>
        <w:ind w:left="4470" w:hanging="135"/>
      </w:pPr>
      <w:rPr>
        <w:rFonts w:hint="default"/>
        <w:lang w:val="en-US" w:eastAsia="en-US" w:bidi="ar-SA"/>
      </w:rPr>
    </w:lvl>
    <w:lvl w:ilvl="7" w:tplc="5176A9CA">
      <w:numFmt w:val="bullet"/>
      <w:lvlText w:val="•"/>
      <w:lvlJc w:val="left"/>
      <w:pPr>
        <w:ind w:left="5145" w:hanging="135"/>
      </w:pPr>
      <w:rPr>
        <w:rFonts w:hint="default"/>
        <w:lang w:val="en-US" w:eastAsia="en-US" w:bidi="ar-SA"/>
      </w:rPr>
    </w:lvl>
    <w:lvl w:ilvl="8" w:tplc="2D16F60A">
      <w:numFmt w:val="bullet"/>
      <w:lvlText w:val="•"/>
      <w:lvlJc w:val="left"/>
      <w:pPr>
        <w:ind w:left="5820" w:hanging="1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2379"/>
    <w:rsid w:val="00163997"/>
    <w:rsid w:val="002569F1"/>
    <w:rsid w:val="00411661"/>
    <w:rsid w:val="00412D21"/>
    <w:rsid w:val="00790F74"/>
    <w:rsid w:val="008326AC"/>
    <w:rsid w:val="00985D18"/>
    <w:rsid w:val="00994657"/>
    <w:rsid w:val="009D0096"/>
    <w:rsid w:val="00A01136"/>
    <w:rsid w:val="00B91749"/>
    <w:rsid w:val="00BD136D"/>
    <w:rsid w:val="00ED2379"/>
    <w:rsid w:val="00E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237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2379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ED2379"/>
  </w:style>
  <w:style w:type="paragraph" w:customStyle="1" w:styleId="TableParagraph">
    <w:name w:val="Table Paragraph"/>
    <w:basedOn w:val="Normal"/>
    <w:uiPriority w:val="1"/>
    <w:qFormat/>
    <w:rsid w:val="00ED23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DellD-D</dc:creator>
  <cp:lastModifiedBy>Mirela Popescu</cp:lastModifiedBy>
  <cp:revision>5</cp:revision>
  <dcterms:created xsi:type="dcterms:W3CDTF">2024-01-31T08:18:00Z</dcterms:created>
  <dcterms:modified xsi:type="dcterms:W3CDTF">2024-01-31T09:17:00Z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für Microsoft 365</vt:lpwstr>
  </property>
</Properties>
</file>