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F4" w:rsidRDefault="006772F4">
      <w:pPr>
        <w:pStyle w:val="BodyText"/>
        <w:ind w:left="120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5" o:spid="_x0000_s1030" style="width:395.75pt;height:52.45pt;mso-position-horizontal-relative:char;mso-position-vertical-relative:line" coordsize="7915,10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36" type="#_x0000_t75" alt="ix100" style="position:absolute;left:38;top:26;width:3169;height:982">
              <v:imagedata r:id="rId7" o:title=""/>
            </v:shape>
            <v:shape id="docshape7" o:spid="_x0000_s1035" type="#_x0000_t75" alt="Brunox-Lubri-Food (2).jpg" style="position:absolute;left:3214;top:65;width:4632;height:912">
              <v:imagedata r:id="rId8" o:title=""/>
            </v:shape>
            <v:rect id="docshape8" o:spid="_x0000_s1034" style="position:absolute;left:35;top:35;width:7845;height:979" filled="f" strokecolor="white" strokeweight="3.5pt"/>
            <v:rect id="docshape9" o:spid="_x0000_s1033" style="position:absolute;left:35;top:35;width:7848;height:979" filled="f" strokeweight="1.25pt"/>
            <v:shape id="docshape10" o:spid="_x0000_s1032" type="#_x0000_t75" style="position:absolute;left:5031;top:83;width:450;height:331">
              <v:imagedata r:id="rId9" o:title=""/>
            </v:shape>
            <v:shape id="docshape11" o:spid="_x0000_s1031" type="#_x0000_t75" alt="NSF_LubriFood-Gelb" style="position:absolute;left:5157;top:153;width:209;height:185">
              <v:imagedata r:id="rId10" o:title=""/>
            </v:shape>
            <w10:wrap type="none"/>
            <w10:anchorlock/>
          </v:group>
        </w:pict>
      </w:r>
    </w:p>
    <w:p w:rsidR="006772F4" w:rsidRDefault="00E148B1">
      <w:pPr>
        <w:pStyle w:val="Heading1"/>
        <w:spacing w:before="344"/>
        <w:ind w:right="448"/>
        <w:jc w:val="center"/>
      </w:pPr>
      <w:r>
        <w:t>Lubrifiant high-tech pentru uz general în industria alimentară</w:t>
      </w:r>
    </w:p>
    <w:p w:rsidR="006772F4" w:rsidRDefault="006772F4">
      <w:pPr>
        <w:pStyle w:val="BodyText"/>
        <w:spacing w:before="153"/>
        <w:rPr>
          <w:b/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8"/>
        <w:gridCol w:w="7697"/>
      </w:tblGrid>
      <w:tr w:rsidR="006772F4">
        <w:trPr>
          <w:trHeight w:val="916"/>
        </w:trPr>
        <w:tc>
          <w:tcPr>
            <w:tcW w:w="2648" w:type="dxa"/>
          </w:tcPr>
          <w:p w:rsidR="006772F4" w:rsidRDefault="00E148B1" w:rsidP="00E148B1">
            <w:pPr>
              <w:pStyle w:val="TableParagraph"/>
              <w:numPr>
                <w:ilvl w:val="0"/>
                <w:numId w:val="3"/>
              </w:numPr>
              <w:spacing w:line="247" w:lineRule="exact"/>
              <w:rPr>
                <w:b/>
              </w:rPr>
            </w:pPr>
            <w:r>
              <w:rPr>
                <w:b/>
              </w:rPr>
              <w:t>Descriere produs</w:t>
            </w:r>
            <w:r w:rsidR="00A216FB">
              <w:rPr>
                <w:b/>
                <w:spacing w:val="-2"/>
              </w:rPr>
              <w:t>:</w:t>
            </w:r>
          </w:p>
        </w:tc>
        <w:tc>
          <w:tcPr>
            <w:tcW w:w="7697" w:type="dxa"/>
          </w:tcPr>
          <w:p w:rsidR="006772F4" w:rsidRDefault="00E148B1" w:rsidP="00E148B1">
            <w:pPr>
              <w:pStyle w:val="TableParagraph"/>
              <w:ind w:right="51"/>
              <w:rPr>
                <w:b/>
              </w:rPr>
            </w:pPr>
            <w:r>
              <w:rPr>
                <w:b/>
              </w:rPr>
              <w:t>Lubrifiant</w:t>
            </w:r>
            <w:r w:rsidR="00A216FB">
              <w:rPr>
                <w:b/>
              </w:rPr>
              <w:t xml:space="preserve">, </w:t>
            </w:r>
            <w:r>
              <w:rPr>
                <w:b/>
              </w:rPr>
              <w:t>ulei penetrant</w:t>
            </w:r>
            <w:r w:rsidR="00A216FB">
              <w:rPr>
                <w:b/>
              </w:rPr>
              <w:t xml:space="preserve"> / </w:t>
            </w:r>
            <w:r>
              <w:rPr>
                <w:b/>
              </w:rPr>
              <w:t>dizolvant de rugină</w:t>
            </w:r>
            <w:r w:rsidR="00A216FB">
              <w:rPr>
                <w:b/>
              </w:rPr>
              <w:t xml:space="preserve">, </w:t>
            </w:r>
            <w:r>
              <w:rPr>
                <w:b/>
              </w:rPr>
              <w:t xml:space="preserve">spray de întreținere </w:t>
            </w:r>
            <w:r w:rsidRPr="00E148B1">
              <w:t>ce se poate folosi în situațiile în care există contact</w:t>
            </w:r>
            <w:r>
              <w:t xml:space="preserve"> cu produsele alimentare întâmplător și inevitabil din punct de vedere tehnic, certificat </w:t>
            </w:r>
            <w:r w:rsidR="00A216FB">
              <w:rPr>
                <w:b/>
              </w:rPr>
              <w:t xml:space="preserve">NSFH1 </w:t>
            </w:r>
            <w:r>
              <w:rPr>
                <w:b/>
              </w:rPr>
              <w:t>(nr.</w:t>
            </w:r>
            <w:r w:rsidR="00A216FB">
              <w:rPr>
                <w:b/>
              </w:rPr>
              <w:t xml:space="preserve"> 136783 </w:t>
            </w:r>
            <w:r>
              <w:rPr>
                <w:b/>
              </w:rPr>
              <w:t>și</w:t>
            </w:r>
            <w:r w:rsidR="00A216FB">
              <w:rPr>
                <w:b/>
              </w:rPr>
              <w:t xml:space="preserve"> n</w:t>
            </w:r>
            <w:r>
              <w:rPr>
                <w:b/>
              </w:rPr>
              <w:t>r.</w:t>
            </w:r>
            <w:r w:rsidR="00A216FB">
              <w:rPr>
                <w:b/>
              </w:rPr>
              <w:t xml:space="preserve"> 137856).</w:t>
            </w:r>
          </w:p>
        </w:tc>
      </w:tr>
      <w:tr w:rsidR="006772F4">
        <w:trPr>
          <w:trHeight w:val="2566"/>
        </w:trPr>
        <w:tc>
          <w:tcPr>
            <w:tcW w:w="2648" w:type="dxa"/>
          </w:tcPr>
          <w:p w:rsidR="006772F4" w:rsidRDefault="00E148B1" w:rsidP="00E148B1">
            <w:pPr>
              <w:pStyle w:val="TableParagraph"/>
              <w:numPr>
                <w:ilvl w:val="0"/>
                <w:numId w:val="3"/>
              </w:numPr>
              <w:spacing w:before="159"/>
              <w:rPr>
                <w:b/>
              </w:rPr>
            </w:pPr>
            <w:r>
              <w:rPr>
                <w:b/>
                <w:spacing w:val="-2"/>
              </w:rPr>
              <w:t>Efect</w:t>
            </w:r>
            <w:r w:rsidR="00A216FB">
              <w:rPr>
                <w:b/>
                <w:spacing w:val="-2"/>
              </w:rPr>
              <w:t>:</w:t>
            </w:r>
          </w:p>
        </w:tc>
        <w:tc>
          <w:tcPr>
            <w:tcW w:w="7697" w:type="dxa"/>
          </w:tcPr>
          <w:p w:rsidR="006772F4" w:rsidRDefault="00A216FB">
            <w:pPr>
              <w:pStyle w:val="TableParagraph"/>
              <w:spacing w:before="161"/>
              <w:ind w:right="81"/>
            </w:pPr>
            <w:r>
              <w:rPr>
                <w:b/>
              </w:rPr>
              <w:t>BRUNOX</w:t>
            </w:r>
            <w:r>
              <w:rPr>
                <w:rFonts w:ascii="Symbol" w:hAnsi="Symbol"/>
                <w:b/>
                <w:vertAlign w:val="superscript"/>
              </w:rPr>
              <w:t></w:t>
            </w:r>
            <w:r>
              <w:rPr>
                <w:b/>
              </w:rPr>
              <w:t xml:space="preserve">Lubri-Food® </w:t>
            </w:r>
            <w:r w:rsidR="00B11C09">
              <w:rPr>
                <w:b/>
              </w:rPr>
              <w:t xml:space="preserve"> </w:t>
            </w:r>
            <w:r w:rsidR="00B11C09">
              <w:t xml:space="preserve">este un lubrifiant </w:t>
            </w:r>
            <w:r>
              <w:t xml:space="preserve">high-tech </w:t>
            </w:r>
            <w:r w:rsidR="00B11C09">
              <w:t xml:space="preserve">pentru uz general care lubrifiază, dizolvă, protejează și întreține în mod </w:t>
            </w:r>
            <w:r w:rsidR="00510298">
              <w:t>durabil</w:t>
            </w:r>
            <w:r w:rsidR="00B11C09">
              <w:t xml:space="preserve">. Este produs integral din ingrediente certificate </w:t>
            </w:r>
            <w:r>
              <w:t>NSFH1</w:t>
            </w:r>
            <w:r w:rsidR="00B11C09">
              <w:t xml:space="preserve"> și nu conține grăsimi de origine vegetală sau animală. Nu </w:t>
            </w:r>
            <w:r w:rsidR="00510298">
              <w:t>gumează</w:t>
            </w:r>
            <w:r w:rsidR="00B11C09">
              <w:t xml:space="preserve"> și nu emulsionează</w:t>
            </w:r>
            <w:r>
              <w:t xml:space="preserve">. </w:t>
            </w:r>
            <w:r w:rsidR="00510298">
              <w:t xml:space="preserve">Formează o peliculă lubrifiantă omogenă care înlătură eficient umiditatea și protejează îndelungat.  </w:t>
            </w:r>
          </w:p>
          <w:p w:rsidR="006772F4" w:rsidRDefault="00A216FB">
            <w:pPr>
              <w:pStyle w:val="TableParagraph"/>
              <w:spacing w:line="242" w:lineRule="auto"/>
              <w:ind w:right="81"/>
            </w:pPr>
            <w:r>
              <w:rPr>
                <w:b/>
              </w:rPr>
              <w:t>BRUNOX</w:t>
            </w:r>
            <w:r>
              <w:rPr>
                <w:rFonts w:ascii="Symbol" w:hAnsi="Symbol"/>
                <w:b/>
                <w:vertAlign w:val="superscript"/>
              </w:rPr>
              <w:t></w:t>
            </w:r>
            <w:r>
              <w:rPr>
                <w:b/>
              </w:rPr>
              <w:t>Lubri-Food®</w:t>
            </w:r>
            <w:r w:rsidR="00510298">
              <w:rPr>
                <w:b/>
              </w:rPr>
              <w:t xml:space="preserve"> </w:t>
            </w:r>
            <w:r w:rsidR="00510298">
              <w:t xml:space="preserve">are un comportament neutru cu toate tipurile de metal, astfel încât este produsul ideal pentru protejarea acestora. </w:t>
            </w:r>
          </w:p>
          <w:p w:rsidR="006772F4" w:rsidRDefault="00A216FB" w:rsidP="00510298">
            <w:pPr>
              <w:pStyle w:val="TableParagraph"/>
              <w:spacing w:before="133"/>
              <w:rPr>
                <w:rFonts w:ascii="Times New Roman" w:hAnsi="Times New Roman"/>
                <w:sz w:val="20"/>
              </w:rPr>
            </w:pPr>
            <w:r>
              <w:rPr>
                <w:b/>
              </w:rPr>
              <w:t>BRUNOX</w:t>
            </w:r>
            <w:r>
              <w:rPr>
                <w:rFonts w:ascii="Symbol" w:hAnsi="Symbol"/>
                <w:b/>
                <w:vertAlign w:val="superscript"/>
              </w:rPr>
              <w:t></w:t>
            </w:r>
            <w:r>
              <w:rPr>
                <w:b/>
              </w:rPr>
              <w:t>Lubri-Food®</w:t>
            </w:r>
            <w:r w:rsidR="00510298">
              <w:t xml:space="preserve"> este potrivit pentru întreținerea oțelului inoxidabil. </w:t>
            </w:r>
          </w:p>
        </w:tc>
      </w:tr>
      <w:tr w:rsidR="006772F4">
        <w:trPr>
          <w:trHeight w:val="1502"/>
        </w:trPr>
        <w:tc>
          <w:tcPr>
            <w:tcW w:w="2648" w:type="dxa"/>
          </w:tcPr>
          <w:p w:rsidR="006772F4" w:rsidRDefault="00E148B1" w:rsidP="00E148B1">
            <w:pPr>
              <w:pStyle w:val="TableParagraph"/>
              <w:numPr>
                <w:ilvl w:val="0"/>
                <w:numId w:val="3"/>
              </w:numPr>
              <w:spacing w:before="188"/>
              <w:rPr>
                <w:b/>
              </w:rPr>
            </w:pPr>
            <w:r>
              <w:rPr>
                <w:b/>
              </w:rPr>
              <w:t>Domeniu de aplicare</w:t>
            </w:r>
            <w:r w:rsidR="00A216FB">
              <w:rPr>
                <w:b/>
                <w:spacing w:val="-12"/>
              </w:rPr>
              <w:t>:</w:t>
            </w:r>
          </w:p>
        </w:tc>
        <w:tc>
          <w:tcPr>
            <w:tcW w:w="7697" w:type="dxa"/>
          </w:tcPr>
          <w:p w:rsidR="006772F4" w:rsidRDefault="00510298">
            <w:pPr>
              <w:pStyle w:val="TableParagraph"/>
              <w:spacing w:before="190"/>
            </w:pPr>
            <w:r>
              <w:t xml:space="preserve">Pentru îngrijirea și întreținerea echipamentelor utilizate în industria alimentară, în agricultură, gastronomie și clinici, precum și în industriile producătoare ale echipamentelor utilizate în aceste sectoare. </w:t>
            </w:r>
          </w:p>
          <w:p w:rsidR="006772F4" w:rsidRDefault="00510298" w:rsidP="00510298">
            <w:pPr>
              <w:pStyle w:val="TableParagraph"/>
              <w:spacing w:before="137"/>
              <w:rPr>
                <w:b/>
              </w:rPr>
            </w:pPr>
            <w:r>
              <w:rPr>
                <w:b/>
              </w:rPr>
              <w:t>Intervalul de temperatură</w:t>
            </w:r>
            <w:r w:rsidR="00A216FB">
              <w:rPr>
                <w:b/>
              </w:rPr>
              <w:t>:</w:t>
            </w:r>
            <w:r>
              <w:rPr>
                <w:b/>
              </w:rPr>
              <w:t xml:space="preserve"> -20°C până la 125°C(pentru o perioadă scurtă până la </w:t>
            </w:r>
            <w:r w:rsidR="00A216FB">
              <w:rPr>
                <w:b/>
              </w:rPr>
              <w:t>155</w:t>
            </w:r>
            <w:r w:rsidR="00A216FB">
              <w:rPr>
                <w:b/>
                <w:spacing w:val="-5"/>
              </w:rPr>
              <w:t>°C)</w:t>
            </w:r>
          </w:p>
        </w:tc>
      </w:tr>
      <w:tr w:rsidR="006772F4">
        <w:trPr>
          <w:trHeight w:val="3438"/>
        </w:trPr>
        <w:tc>
          <w:tcPr>
            <w:tcW w:w="2648" w:type="dxa"/>
          </w:tcPr>
          <w:p w:rsidR="006772F4" w:rsidRDefault="00E148B1" w:rsidP="00E148B1">
            <w:pPr>
              <w:pStyle w:val="TableParagraph"/>
              <w:numPr>
                <w:ilvl w:val="0"/>
                <w:numId w:val="3"/>
              </w:numPr>
              <w:spacing w:before="157"/>
              <w:rPr>
                <w:b/>
              </w:rPr>
            </w:pPr>
            <w:r>
              <w:rPr>
                <w:b/>
                <w:spacing w:val="-2"/>
              </w:rPr>
              <w:t>Mod de utilizare</w:t>
            </w:r>
            <w:r w:rsidR="00A216FB">
              <w:rPr>
                <w:b/>
                <w:spacing w:val="-2"/>
              </w:rPr>
              <w:t>:</w:t>
            </w:r>
          </w:p>
        </w:tc>
        <w:tc>
          <w:tcPr>
            <w:tcW w:w="7697" w:type="dxa"/>
          </w:tcPr>
          <w:p w:rsidR="006772F4" w:rsidRDefault="00510298">
            <w:pPr>
              <w:pStyle w:val="TableParagraph"/>
              <w:spacing w:before="159"/>
              <w:ind w:right="81"/>
            </w:pPr>
            <w:r>
              <w:t>Înainte de aplicare, asigurați-vă că echipamentele sunt deconectate de la sursa de alimentare.</w:t>
            </w:r>
          </w:p>
          <w:p w:rsidR="006772F4" w:rsidRDefault="00A216FB">
            <w:pPr>
              <w:pStyle w:val="TableParagraph"/>
              <w:spacing w:before="140"/>
              <w:ind w:right="428"/>
              <w:jc w:val="both"/>
            </w:pPr>
            <w:r>
              <w:rPr>
                <w:b/>
              </w:rPr>
              <w:t>BRUNOX</w:t>
            </w:r>
            <w:r>
              <w:rPr>
                <w:rFonts w:ascii="Symbol" w:hAnsi="Symbol"/>
                <w:b/>
                <w:vertAlign w:val="superscript"/>
              </w:rPr>
              <w:t></w:t>
            </w:r>
            <w:r>
              <w:rPr>
                <w:b/>
              </w:rPr>
              <w:t>Lubri-Food®</w:t>
            </w:r>
            <w:r w:rsidR="00510298">
              <w:t xml:space="preserve"> se aplică</w:t>
            </w:r>
            <w:r w:rsidR="00132E0A">
              <w:t xml:space="preserve"> în strat</w:t>
            </w:r>
            <w:r w:rsidR="00510298">
              <w:t xml:space="preserve"> </w:t>
            </w:r>
            <w:r w:rsidR="00132E0A">
              <w:t xml:space="preserve">uniform și subțire. Folosiți doar cantitatea de material necesară pentru a obține rezultatul dorit. Îndepărtați excesul de material cu o lavetă sau cu detergent (tensioactiv). </w:t>
            </w:r>
          </w:p>
          <w:p w:rsidR="006772F4" w:rsidRDefault="00132E0A">
            <w:pPr>
              <w:pStyle w:val="TableParagraph"/>
              <w:spacing w:before="136"/>
            </w:pPr>
            <w:r>
              <w:t xml:space="preserve">Repetați procesul din când în când dacă este necesar pentru a asigura un rezultat optim. </w:t>
            </w:r>
          </w:p>
          <w:p w:rsidR="006772F4" w:rsidRDefault="00132E0A">
            <w:pPr>
              <w:pStyle w:val="TableParagraph"/>
              <w:spacing w:before="138" w:line="242" w:lineRule="auto"/>
              <w:ind w:right="645"/>
            </w:pPr>
            <w:r>
              <w:t xml:space="preserve">Cu toate că este </w:t>
            </w:r>
            <w:r w:rsidR="009F0393">
              <w:t>certificat</w:t>
            </w:r>
            <w:r>
              <w:t xml:space="preserve"> NSFH1</w:t>
            </w:r>
            <w:r w:rsidR="00A216FB">
              <w:t>,</w:t>
            </w:r>
            <w:r w:rsidR="00A216FB">
              <w:rPr>
                <w:b/>
              </w:rPr>
              <w:t>BRUNOX</w:t>
            </w:r>
            <w:r w:rsidR="00A216FB">
              <w:rPr>
                <w:rFonts w:ascii="Symbol" w:hAnsi="Symbol"/>
                <w:b/>
                <w:vertAlign w:val="superscript"/>
              </w:rPr>
              <w:t></w:t>
            </w:r>
            <w:r w:rsidR="00A216FB">
              <w:rPr>
                <w:b/>
              </w:rPr>
              <w:t>Lubri-Food®</w:t>
            </w:r>
            <w:r>
              <w:t xml:space="preserve"> ar trebui să intre în contact cu alimentele cât mai puțin posibil. </w:t>
            </w:r>
          </w:p>
          <w:p w:rsidR="006772F4" w:rsidRDefault="00132E0A" w:rsidP="00132E0A">
            <w:pPr>
              <w:pStyle w:val="TableParagraph"/>
              <w:spacing w:before="135"/>
              <w:ind w:left="200" w:right="81"/>
            </w:pPr>
            <w:r>
              <w:t>Nu goliți niciodată supapele de pulverizare, acest lucru duce la scăderea presiunii în tub.</w:t>
            </w:r>
          </w:p>
        </w:tc>
      </w:tr>
      <w:tr w:rsidR="006772F4">
        <w:trPr>
          <w:trHeight w:val="1286"/>
        </w:trPr>
        <w:tc>
          <w:tcPr>
            <w:tcW w:w="2648" w:type="dxa"/>
          </w:tcPr>
          <w:p w:rsidR="006772F4" w:rsidRDefault="00E148B1" w:rsidP="00E148B1">
            <w:pPr>
              <w:pStyle w:val="TableParagraph"/>
              <w:numPr>
                <w:ilvl w:val="0"/>
                <w:numId w:val="3"/>
              </w:numPr>
              <w:spacing w:before="156"/>
              <w:rPr>
                <w:b/>
              </w:rPr>
            </w:pPr>
            <w:r>
              <w:rPr>
                <w:b/>
              </w:rPr>
              <w:t>Opinia experților</w:t>
            </w:r>
            <w:r w:rsidR="00A216FB">
              <w:rPr>
                <w:b/>
                <w:spacing w:val="-2"/>
              </w:rPr>
              <w:t>:</w:t>
            </w:r>
          </w:p>
        </w:tc>
        <w:tc>
          <w:tcPr>
            <w:tcW w:w="7697" w:type="dxa"/>
          </w:tcPr>
          <w:p w:rsidR="006772F4" w:rsidRDefault="00132E0A">
            <w:pPr>
              <w:pStyle w:val="TableParagraph"/>
              <w:spacing w:before="155"/>
              <w:rPr>
                <w:sz w:val="20"/>
              </w:rPr>
            </w:pPr>
            <w:r>
              <w:rPr>
                <w:b/>
                <w:sz w:val="20"/>
              </w:rPr>
              <w:t xml:space="preserve">Certificare </w:t>
            </w:r>
            <w:r w:rsidR="00A216FB">
              <w:rPr>
                <w:b/>
                <w:sz w:val="20"/>
              </w:rPr>
              <w:t>NSFH1</w:t>
            </w:r>
            <w:r w:rsidR="00A216FB">
              <w:rPr>
                <w:b/>
                <w:sz w:val="20"/>
              </w:rPr>
              <w:t>;</w:t>
            </w:r>
            <w:r>
              <w:rPr>
                <w:sz w:val="20"/>
              </w:rPr>
              <w:t>Nr. de înregistrare</w:t>
            </w:r>
            <w:r w:rsidR="00A216FB">
              <w:rPr>
                <w:sz w:val="20"/>
              </w:rPr>
              <w:t>:</w:t>
            </w:r>
            <w:r w:rsidR="00A216FB">
              <w:rPr>
                <w:spacing w:val="-2"/>
                <w:sz w:val="20"/>
              </w:rPr>
              <w:t>136783/137856.</w:t>
            </w:r>
          </w:p>
          <w:p w:rsidR="006772F4" w:rsidRDefault="00A216FB">
            <w:pPr>
              <w:pStyle w:val="TableParagraph"/>
              <w:spacing w:before="140"/>
              <w:rPr>
                <w:sz w:val="20"/>
              </w:rPr>
            </w:pPr>
            <w:r>
              <w:rPr>
                <w:b/>
                <w:sz w:val="20"/>
              </w:rPr>
              <w:t>SVGW/SSIGE;</w:t>
            </w:r>
            <w:r w:rsidR="00132E0A">
              <w:rPr>
                <w:sz w:val="20"/>
              </w:rPr>
              <w:t xml:space="preserve"> Certificat nr.</w:t>
            </w:r>
            <w:r>
              <w:rPr>
                <w:sz w:val="20"/>
              </w:rPr>
              <w:t>:</w:t>
            </w:r>
            <w:r w:rsidR="00132E0A">
              <w:rPr>
                <w:sz w:val="20"/>
              </w:rPr>
              <w:t xml:space="preserve"> </w:t>
            </w:r>
            <w:r>
              <w:rPr>
                <w:sz w:val="20"/>
              </w:rPr>
              <w:t>0901-</w:t>
            </w:r>
            <w:r>
              <w:rPr>
                <w:spacing w:val="-4"/>
                <w:sz w:val="20"/>
              </w:rPr>
              <w:t>5489.</w:t>
            </w:r>
          </w:p>
          <w:p w:rsidR="006772F4" w:rsidRDefault="00132E0A">
            <w:pPr>
              <w:pStyle w:val="TableParagraph"/>
              <w:spacing w:before="137"/>
              <w:rPr>
                <w:b/>
                <w:sz w:val="20"/>
              </w:rPr>
            </w:pPr>
            <w:r>
              <w:rPr>
                <w:sz w:val="20"/>
              </w:rPr>
              <w:t>Spumă certificată conform cu</w:t>
            </w:r>
            <w:r w:rsidR="00A216FB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Metoda </w:t>
            </w:r>
            <w:r w:rsidR="00A216FB">
              <w:rPr>
                <w:b/>
                <w:sz w:val="20"/>
              </w:rPr>
              <w:t>Ross&amp;</w:t>
            </w:r>
            <w:r w:rsidR="00A216FB">
              <w:rPr>
                <w:b/>
                <w:spacing w:val="-4"/>
                <w:sz w:val="20"/>
              </w:rPr>
              <w:t>Clark</w:t>
            </w:r>
          </w:p>
        </w:tc>
      </w:tr>
      <w:tr w:rsidR="006772F4">
        <w:trPr>
          <w:trHeight w:val="1584"/>
        </w:trPr>
        <w:tc>
          <w:tcPr>
            <w:tcW w:w="2648" w:type="dxa"/>
          </w:tcPr>
          <w:p w:rsidR="006772F4" w:rsidRDefault="00E148B1" w:rsidP="00E148B1">
            <w:pPr>
              <w:pStyle w:val="TableParagraph"/>
              <w:numPr>
                <w:ilvl w:val="0"/>
                <w:numId w:val="3"/>
              </w:numPr>
              <w:spacing w:before="158"/>
              <w:rPr>
                <w:b/>
              </w:rPr>
            </w:pPr>
            <w:r>
              <w:rPr>
                <w:b/>
                <w:spacing w:val="-2"/>
              </w:rPr>
              <w:lastRenderedPageBreak/>
              <w:t>Compatibilitatea cu mediul</w:t>
            </w:r>
            <w:r w:rsidR="00A216FB">
              <w:rPr>
                <w:b/>
                <w:spacing w:val="-2"/>
              </w:rPr>
              <w:t>:</w:t>
            </w:r>
          </w:p>
        </w:tc>
        <w:tc>
          <w:tcPr>
            <w:tcW w:w="7697" w:type="dxa"/>
          </w:tcPr>
          <w:p w:rsidR="006772F4" w:rsidRDefault="00E148B1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Foarte bună</w:t>
            </w:r>
            <w:r w:rsidR="00A216FB">
              <w:rPr>
                <w:spacing w:val="-2"/>
                <w:sz w:val="20"/>
              </w:rPr>
              <w:t>:</w:t>
            </w:r>
          </w:p>
          <w:p w:rsidR="006772F4" w:rsidRDefault="00E148B1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37"/>
              <w:ind w:left="391" w:hanging="121"/>
              <w:rPr>
                <w:sz w:val="20"/>
              </w:rPr>
            </w:pPr>
            <w:r>
              <w:rPr>
                <w:spacing w:val="-2"/>
                <w:sz w:val="20"/>
              </w:rPr>
              <w:t>transparent</w:t>
            </w:r>
          </w:p>
          <w:p w:rsidR="006772F4" w:rsidRDefault="00E148B1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46"/>
              <w:ind w:left="391" w:hanging="121"/>
              <w:rPr>
                <w:sz w:val="20"/>
              </w:rPr>
            </w:pPr>
            <w:r>
              <w:rPr>
                <w:spacing w:val="-2"/>
                <w:sz w:val="20"/>
              </w:rPr>
              <w:t>inodor</w:t>
            </w:r>
          </w:p>
          <w:p w:rsidR="006772F4" w:rsidRDefault="00E148B1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46"/>
              <w:ind w:left="391" w:hanging="121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 xml:space="preserve">agentul de pulverizare este </w:t>
            </w:r>
            <w:r w:rsidR="00A216FB">
              <w:rPr>
                <w:position w:val="1"/>
                <w:sz w:val="20"/>
              </w:rPr>
              <w:t>CO</w:t>
            </w:r>
            <w:r w:rsidR="00A216FB">
              <w:rPr>
                <w:sz w:val="13"/>
              </w:rPr>
              <w:t>2</w:t>
            </w:r>
          </w:p>
          <w:p w:rsidR="006772F4" w:rsidRDefault="00E148B1" w:rsidP="00E148B1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46" w:line="210" w:lineRule="exact"/>
              <w:ind w:left="377" w:hanging="121"/>
              <w:rPr>
                <w:sz w:val="20"/>
              </w:rPr>
            </w:pPr>
            <w:r>
              <w:rPr>
                <w:sz w:val="20"/>
              </w:rPr>
              <w:t>nu conține acizi, silicon</w:t>
            </w:r>
            <w:r w:rsidR="00A216FB">
              <w:rPr>
                <w:sz w:val="20"/>
              </w:rPr>
              <w:t>,</w:t>
            </w:r>
            <w:r>
              <w:rPr>
                <w:sz w:val="20"/>
              </w:rPr>
              <w:t xml:space="preserve"> PTFE si materii carcinogene </w:t>
            </w:r>
          </w:p>
        </w:tc>
      </w:tr>
    </w:tbl>
    <w:p w:rsidR="006772F4" w:rsidRDefault="006772F4">
      <w:pPr>
        <w:spacing w:line="210" w:lineRule="exact"/>
        <w:rPr>
          <w:sz w:val="20"/>
        </w:rPr>
        <w:sectPr w:rsidR="006772F4">
          <w:headerReference w:type="default" r:id="rId11"/>
          <w:footerReference w:type="default" r:id="rId12"/>
          <w:type w:val="continuous"/>
          <w:pgSz w:w="11910" w:h="16850"/>
          <w:pgMar w:top="2000" w:right="360" w:bottom="1240" w:left="980" w:header="299" w:footer="1053" w:gutter="0"/>
          <w:pgNumType w:start="1"/>
          <w:cols w:space="720"/>
        </w:sectPr>
      </w:pPr>
    </w:p>
    <w:p w:rsidR="006772F4" w:rsidRDefault="006772F4">
      <w:pPr>
        <w:pStyle w:val="BodyText"/>
        <w:rPr>
          <w:b/>
          <w:sz w:val="20"/>
        </w:rPr>
      </w:pPr>
    </w:p>
    <w:p w:rsidR="006772F4" w:rsidRDefault="006772F4">
      <w:pPr>
        <w:pStyle w:val="BodyText"/>
        <w:rPr>
          <w:b/>
          <w:sz w:val="20"/>
        </w:rPr>
      </w:pPr>
    </w:p>
    <w:p w:rsidR="006772F4" w:rsidRDefault="006772F4">
      <w:pPr>
        <w:pStyle w:val="BodyText"/>
        <w:rPr>
          <w:b/>
          <w:sz w:val="20"/>
        </w:rPr>
      </w:pPr>
    </w:p>
    <w:p w:rsidR="006772F4" w:rsidRDefault="006772F4">
      <w:pPr>
        <w:pStyle w:val="BodyText"/>
        <w:rPr>
          <w:b/>
          <w:sz w:val="20"/>
        </w:rPr>
      </w:pPr>
    </w:p>
    <w:p w:rsidR="006772F4" w:rsidRDefault="006772F4">
      <w:pPr>
        <w:pStyle w:val="BodyText"/>
        <w:spacing w:before="100"/>
        <w:rPr>
          <w:b/>
          <w:sz w:val="20"/>
        </w:rPr>
      </w:pPr>
    </w:p>
    <w:p w:rsidR="006772F4" w:rsidRDefault="00E148B1">
      <w:pPr>
        <w:pStyle w:val="ListParagraph"/>
        <w:numPr>
          <w:ilvl w:val="0"/>
          <w:numId w:val="1"/>
        </w:numPr>
        <w:tabs>
          <w:tab w:val="left" w:pos="462"/>
          <w:tab w:val="left" w:pos="3026"/>
        </w:tabs>
        <w:ind w:hanging="244"/>
        <w:rPr>
          <w:sz w:val="20"/>
        </w:rPr>
      </w:pPr>
      <w:r>
        <w:rPr>
          <w:b/>
        </w:rPr>
        <w:t>Ambalare</w:t>
      </w:r>
      <w:r w:rsidR="00A216FB">
        <w:rPr>
          <w:b/>
          <w:spacing w:val="-2"/>
        </w:rPr>
        <w:t>:</w:t>
      </w:r>
      <w:r w:rsidR="00A216FB">
        <w:rPr>
          <w:b/>
        </w:rPr>
        <w:tab/>
      </w:r>
      <w:r w:rsidR="00A216FB">
        <w:rPr>
          <w:b/>
          <w:position w:val="2"/>
          <w:sz w:val="20"/>
        </w:rPr>
        <w:t>Spray:</w:t>
      </w:r>
      <w:r>
        <w:rPr>
          <w:b/>
          <w:position w:val="2"/>
          <w:sz w:val="20"/>
        </w:rPr>
        <w:t xml:space="preserve"> </w:t>
      </w:r>
      <w:r w:rsidR="00A216FB">
        <w:rPr>
          <w:position w:val="2"/>
          <w:sz w:val="20"/>
        </w:rPr>
        <w:t>100ml,</w:t>
      </w:r>
      <w:r>
        <w:rPr>
          <w:position w:val="2"/>
          <w:sz w:val="20"/>
        </w:rPr>
        <w:t xml:space="preserve"> </w:t>
      </w:r>
      <w:r w:rsidR="00A216FB">
        <w:rPr>
          <w:position w:val="2"/>
          <w:sz w:val="20"/>
        </w:rPr>
        <w:t>400</w:t>
      </w:r>
      <w:r w:rsidR="00A216FB">
        <w:rPr>
          <w:spacing w:val="-5"/>
          <w:position w:val="2"/>
          <w:sz w:val="20"/>
        </w:rPr>
        <w:t>ml</w:t>
      </w:r>
    </w:p>
    <w:p w:rsidR="006772F4" w:rsidRDefault="00E148B1">
      <w:pPr>
        <w:spacing w:before="113"/>
        <w:ind w:left="3024"/>
        <w:rPr>
          <w:sz w:val="20"/>
        </w:rPr>
      </w:pPr>
      <w:r>
        <w:rPr>
          <w:b/>
          <w:sz w:val="20"/>
        </w:rPr>
        <w:t>Canistră</w:t>
      </w:r>
      <w:r w:rsidR="00A216FB">
        <w:rPr>
          <w:b/>
          <w:sz w:val="20"/>
        </w:rPr>
        <w:t>:</w:t>
      </w:r>
      <w:r>
        <w:rPr>
          <w:b/>
          <w:sz w:val="20"/>
        </w:rPr>
        <w:t xml:space="preserve"> </w:t>
      </w:r>
      <w:r w:rsidR="00A216FB">
        <w:rPr>
          <w:sz w:val="20"/>
        </w:rPr>
        <w:t>5</w:t>
      </w:r>
      <w:r w:rsidR="00A216FB">
        <w:rPr>
          <w:spacing w:val="-10"/>
          <w:sz w:val="20"/>
        </w:rPr>
        <w:t>l</w:t>
      </w:r>
    </w:p>
    <w:p w:rsidR="006772F4" w:rsidRDefault="006772F4">
      <w:pPr>
        <w:pStyle w:val="BodyText"/>
        <w:spacing w:before="11"/>
        <w:rPr>
          <w:sz w:val="19"/>
        </w:rPr>
      </w:pPr>
    </w:p>
    <w:p w:rsidR="006772F4" w:rsidRDefault="006772F4">
      <w:pPr>
        <w:rPr>
          <w:sz w:val="19"/>
        </w:rPr>
        <w:sectPr w:rsidR="006772F4">
          <w:pgSz w:w="11910" w:h="16850"/>
          <w:pgMar w:top="2000" w:right="360" w:bottom="1240" w:left="980" w:header="299" w:footer="1053" w:gutter="0"/>
          <w:cols w:space="720"/>
        </w:sectPr>
      </w:pPr>
    </w:p>
    <w:p w:rsidR="006772F4" w:rsidRDefault="00E148B1">
      <w:pPr>
        <w:pStyle w:val="ListParagraph"/>
        <w:numPr>
          <w:ilvl w:val="0"/>
          <w:numId w:val="1"/>
        </w:numPr>
        <w:tabs>
          <w:tab w:val="left" w:pos="471"/>
          <w:tab w:val="left" w:pos="3024"/>
        </w:tabs>
        <w:spacing w:before="92" w:line="439" w:lineRule="auto"/>
        <w:ind w:left="3024" w:right="1362" w:hanging="2799"/>
        <w:rPr>
          <w:sz w:val="20"/>
        </w:rPr>
      </w:pPr>
      <w:r>
        <w:rPr>
          <w:b/>
        </w:rPr>
        <w:lastRenderedPageBreak/>
        <w:t>Specificație tehnică</w:t>
      </w:r>
      <w:r w:rsidR="00A216FB">
        <w:rPr>
          <w:b/>
        </w:rPr>
        <w:t>:</w:t>
      </w:r>
      <w:r w:rsidR="00A216FB">
        <w:rPr>
          <w:b/>
        </w:rPr>
        <w:tab/>
      </w:r>
      <w:r>
        <w:rPr>
          <w:spacing w:val="-2"/>
          <w:position w:val="2"/>
          <w:sz w:val="20"/>
        </w:rPr>
        <w:t>Aspect</w:t>
      </w:r>
      <w:r w:rsidR="00A216FB">
        <w:rPr>
          <w:spacing w:val="-2"/>
          <w:position w:val="2"/>
          <w:sz w:val="20"/>
        </w:rPr>
        <w:t xml:space="preserve">: </w:t>
      </w:r>
      <w:r w:rsidR="00B11C09">
        <w:rPr>
          <w:sz w:val="20"/>
        </w:rPr>
        <w:t>Greutate s</w:t>
      </w:r>
      <w:r w:rsidR="00A216FB">
        <w:rPr>
          <w:sz w:val="20"/>
        </w:rPr>
        <w:t>pecific</w:t>
      </w:r>
      <w:r w:rsidR="00B11C09">
        <w:rPr>
          <w:sz w:val="20"/>
        </w:rPr>
        <w:t>ă</w:t>
      </w:r>
      <w:r w:rsidR="00A216FB">
        <w:rPr>
          <w:sz w:val="20"/>
        </w:rPr>
        <w:t>:</w:t>
      </w:r>
    </w:p>
    <w:p w:rsidR="006772F4" w:rsidRDefault="00B11C09">
      <w:pPr>
        <w:spacing w:before="38" w:line="482" w:lineRule="auto"/>
        <w:ind w:left="3024" w:right="86"/>
        <w:rPr>
          <w:sz w:val="20"/>
        </w:rPr>
      </w:pPr>
      <w:r>
        <w:rPr>
          <w:sz w:val="20"/>
        </w:rPr>
        <w:t>Vâscozitate dinamică</w:t>
      </w:r>
      <w:r w:rsidR="00A216FB">
        <w:rPr>
          <w:sz w:val="20"/>
        </w:rPr>
        <w:t xml:space="preserve">(20°C) </w:t>
      </w:r>
      <w:r>
        <w:rPr>
          <w:sz w:val="20"/>
        </w:rPr>
        <w:t>Punct de aprindere</w:t>
      </w:r>
      <w:r w:rsidR="00A216FB">
        <w:rPr>
          <w:sz w:val="20"/>
        </w:rPr>
        <w:t>:</w:t>
      </w:r>
    </w:p>
    <w:p w:rsidR="006772F4" w:rsidRDefault="00B11C09">
      <w:pPr>
        <w:spacing w:line="228" w:lineRule="exact"/>
        <w:ind w:left="3024"/>
        <w:rPr>
          <w:sz w:val="20"/>
        </w:rPr>
      </w:pPr>
      <w:r>
        <w:rPr>
          <w:spacing w:val="-2"/>
          <w:sz w:val="20"/>
        </w:rPr>
        <w:t>R</w:t>
      </w:r>
      <w:r w:rsidR="00A216FB">
        <w:rPr>
          <w:spacing w:val="-2"/>
          <w:sz w:val="20"/>
        </w:rPr>
        <w:t>e</w:t>
      </w:r>
      <w:r>
        <w:rPr>
          <w:spacing w:val="-2"/>
          <w:sz w:val="20"/>
        </w:rPr>
        <w:t>zistență la temperatură</w:t>
      </w:r>
      <w:r w:rsidR="00A216FB">
        <w:rPr>
          <w:spacing w:val="-2"/>
          <w:sz w:val="20"/>
        </w:rPr>
        <w:t>:</w:t>
      </w:r>
    </w:p>
    <w:p w:rsidR="006772F4" w:rsidRDefault="006772F4">
      <w:pPr>
        <w:pStyle w:val="BodyText"/>
        <w:spacing w:before="228"/>
        <w:rPr>
          <w:sz w:val="20"/>
        </w:rPr>
      </w:pPr>
    </w:p>
    <w:p w:rsidR="006772F4" w:rsidRDefault="00B11C09">
      <w:pPr>
        <w:ind w:left="3024"/>
        <w:rPr>
          <w:sz w:val="20"/>
        </w:rPr>
      </w:pPr>
      <w:r>
        <w:rPr>
          <w:sz w:val="20"/>
        </w:rPr>
        <w:t>Stare stabilă</w:t>
      </w:r>
      <w:r w:rsidR="00A216FB">
        <w:rPr>
          <w:spacing w:val="-2"/>
          <w:sz w:val="20"/>
        </w:rPr>
        <w:t>:</w:t>
      </w:r>
    </w:p>
    <w:p w:rsidR="006772F4" w:rsidRDefault="006772F4">
      <w:pPr>
        <w:pStyle w:val="BodyText"/>
        <w:spacing w:before="1"/>
        <w:rPr>
          <w:sz w:val="20"/>
        </w:rPr>
      </w:pPr>
    </w:p>
    <w:p w:rsidR="006772F4" w:rsidRDefault="00B11C09">
      <w:pPr>
        <w:ind w:left="3024"/>
        <w:rPr>
          <w:sz w:val="20"/>
        </w:rPr>
      </w:pPr>
      <w:r>
        <w:rPr>
          <w:sz w:val="20"/>
        </w:rPr>
        <w:t>Valoare PH</w:t>
      </w:r>
      <w:r w:rsidR="00A216FB">
        <w:rPr>
          <w:spacing w:val="-2"/>
          <w:sz w:val="20"/>
        </w:rPr>
        <w:t>:</w:t>
      </w:r>
    </w:p>
    <w:p w:rsidR="006772F4" w:rsidRDefault="006772F4">
      <w:pPr>
        <w:pStyle w:val="BodyText"/>
        <w:spacing w:before="1"/>
        <w:rPr>
          <w:sz w:val="20"/>
        </w:rPr>
      </w:pPr>
    </w:p>
    <w:p w:rsidR="006772F4" w:rsidRDefault="00B11C09">
      <w:pPr>
        <w:ind w:left="3024"/>
        <w:rPr>
          <w:sz w:val="20"/>
        </w:rPr>
      </w:pPr>
      <w:r>
        <w:rPr>
          <w:sz w:val="20"/>
        </w:rPr>
        <w:t>Caracteristici peliculă</w:t>
      </w:r>
      <w:r w:rsidR="00A216FB">
        <w:rPr>
          <w:spacing w:val="-2"/>
          <w:sz w:val="20"/>
        </w:rPr>
        <w:t>:</w:t>
      </w:r>
    </w:p>
    <w:p w:rsidR="006772F4" w:rsidRDefault="00B11C09">
      <w:pPr>
        <w:spacing w:before="229"/>
        <w:ind w:left="3024"/>
        <w:rPr>
          <w:sz w:val="20"/>
        </w:rPr>
      </w:pPr>
      <w:r>
        <w:rPr>
          <w:sz w:val="20"/>
        </w:rPr>
        <w:t>Grosime peliculă</w:t>
      </w:r>
      <w:r w:rsidR="00A216FB">
        <w:rPr>
          <w:spacing w:val="-2"/>
          <w:sz w:val="20"/>
        </w:rPr>
        <w:t>:</w:t>
      </w:r>
    </w:p>
    <w:p w:rsidR="006772F4" w:rsidRDefault="006772F4">
      <w:pPr>
        <w:pStyle w:val="BodyText"/>
        <w:rPr>
          <w:sz w:val="20"/>
        </w:rPr>
      </w:pPr>
    </w:p>
    <w:p w:rsidR="006772F4" w:rsidRDefault="00B11C09">
      <w:pPr>
        <w:ind w:left="3024"/>
        <w:rPr>
          <w:sz w:val="20"/>
        </w:rPr>
      </w:pPr>
      <w:r>
        <w:rPr>
          <w:spacing w:val="-2"/>
          <w:sz w:val="20"/>
        </w:rPr>
        <w:t>Randament</w:t>
      </w:r>
      <w:r w:rsidR="00A216FB">
        <w:rPr>
          <w:spacing w:val="-2"/>
          <w:sz w:val="20"/>
        </w:rPr>
        <w:t>:</w:t>
      </w:r>
    </w:p>
    <w:p w:rsidR="006772F4" w:rsidRDefault="00B11C09">
      <w:pPr>
        <w:spacing w:before="116" w:line="357" w:lineRule="auto"/>
        <w:ind w:left="3024"/>
        <w:rPr>
          <w:sz w:val="20"/>
        </w:rPr>
      </w:pPr>
      <w:r>
        <w:rPr>
          <w:sz w:val="20"/>
        </w:rPr>
        <w:t xml:space="preserve">Lubrifiere conform </w:t>
      </w:r>
      <w:r w:rsidR="00A216FB">
        <w:rPr>
          <w:sz w:val="20"/>
        </w:rPr>
        <w:t xml:space="preserve">Brugger: </w:t>
      </w:r>
      <w:r>
        <w:rPr>
          <w:spacing w:val="-2"/>
          <w:sz w:val="20"/>
        </w:rPr>
        <w:t>Consistență</w:t>
      </w:r>
      <w:r w:rsidR="00A216FB">
        <w:rPr>
          <w:spacing w:val="-2"/>
          <w:sz w:val="20"/>
        </w:rPr>
        <w:t>:</w:t>
      </w:r>
    </w:p>
    <w:p w:rsidR="006772F4" w:rsidRDefault="00A216FB">
      <w:pPr>
        <w:spacing w:before="95"/>
        <w:ind w:left="225"/>
        <w:rPr>
          <w:sz w:val="20"/>
        </w:rPr>
      </w:pPr>
      <w:r>
        <w:br w:type="column"/>
      </w:r>
      <w:r w:rsidR="00E148B1">
        <w:rPr>
          <w:spacing w:val="-2"/>
          <w:sz w:val="20"/>
        </w:rPr>
        <w:lastRenderedPageBreak/>
        <w:t>incolor</w:t>
      </w:r>
    </w:p>
    <w:p w:rsidR="006772F4" w:rsidRDefault="006772F4">
      <w:pPr>
        <w:pStyle w:val="BodyText"/>
        <w:spacing w:before="4"/>
        <w:rPr>
          <w:sz w:val="20"/>
        </w:rPr>
      </w:pPr>
    </w:p>
    <w:p w:rsidR="006772F4" w:rsidRDefault="00A216FB">
      <w:pPr>
        <w:spacing w:before="1"/>
        <w:ind w:left="225"/>
        <w:rPr>
          <w:sz w:val="20"/>
        </w:rPr>
      </w:pPr>
      <w:r>
        <w:rPr>
          <w:sz w:val="20"/>
        </w:rPr>
        <w:t>0,83</w:t>
      </w:r>
      <w:r>
        <w:rPr>
          <w:rFonts w:ascii="Symbol" w:hAnsi="Symbol"/>
          <w:sz w:val="20"/>
        </w:rPr>
        <w:t></w:t>
      </w:r>
      <w:r>
        <w:rPr>
          <w:sz w:val="20"/>
        </w:rPr>
        <w:t>0,02</w:t>
      </w:r>
      <w:r>
        <w:rPr>
          <w:spacing w:val="-2"/>
          <w:sz w:val="20"/>
        </w:rPr>
        <w:t>g/cm3</w:t>
      </w:r>
    </w:p>
    <w:p w:rsidR="00B11C09" w:rsidRDefault="00B11C09">
      <w:pPr>
        <w:spacing w:before="226"/>
        <w:ind w:left="225"/>
        <w:rPr>
          <w:sz w:val="20"/>
        </w:rPr>
      </w:pPr>
    </w:p>
    <w:p w:rsidR="006772F4" w:rsidRDefault="00A216FB">
      <w:pPr>
        <w:spacing w:before="226"/>
        <w:ind w:left="225"/>
        <w:rPr>
          <w:sz w:val="20"/>
        </w:rPr>
      </w:pPr>
      <w:r>
        <w:rPr>
          <w:sz w:val="20"/>
        </w:rPr>
        <w:t>3.5mPas</w:t>
      </w:r>
      <w:r w:rsidR="00B11C09">
        <w:rPr>
          <w:sz w:val="20"/>
        </w:rPr>
        <w:t xml:space="preserve"> (vrac și </w:t>
      </w:r>
      <w:r>
        <w:rPr>
          <w:spacing w:val="-2"/>
          <w:sz w:val="20"/>
        </w:rPr>
        <w:t>AEROSOL)</w:t>
      </w:r>
    </w:p>
    <w:p w:rsidR="00B11C09" w:rsidRDefault="00A216FB">
      <w:pPr>
        <w:spacing w:before="49" w:line="460" w:lineRule="exact"/>
        <w:ind w:left="225" w:right="451"/>
        <w:rPr>
          <w:sz w:val="20"/>
        </w:rPr>
      </w:pPr>
      <w:r>
        <w:rPr>
          <w:sz w:val="20"/>
        </w:rPr>
        <w:t>73°C</w:t>
      </w:r>
      <w:r w:rsidR="00B11C09">
        <w:rPr>
          <w:sz w:val="20"/>
        </w:rPr>
        <w:t xml:space="preserve"> </w:t>
      </w:r>
      <w:r>
        <w:rPr>
          <w:sz w:val="20"/>
        </w:rPr>
        <w:t>(</w:t>
      </w:r>
      <w:r w:rsidR="00B11C09">
        <w:rPr>
          <w:sz w:val="20"/>
        </w:rPr>
        <w:t>ambalaj deschis</w:t>
      </w:r>
      <w:r>
        <w:rPr>
          <w:sz w:val="20"/>
        </w:rPr>
        <w:t>)</w:t>
      </w:r>
      <w:r w:rsidR="00B11C09">
        <w:rPr>
          <w:sz w:val="20"/>
        </w:rPr>
        <w:t xml:space="preserve"> </w:t>
      </w:r>
      <w:r>
        <w:rPr>
          <w:sz w:val="20"/>
        </w:rPr>
        <w:t>DIN</w:t>
      </w:r>
      <w:r w:rsidR="00B11C09">
        <w:rPr>
          <w:sz w:val="20"/>
        </w:rPr>
        <w:t xml:space="preserve"> </w:t>
      </w:r>
      <w:r>
        <w:rPr>
          <w:sz w:val="20"/>
        </w:rPr>
        <w:t>ISO</w:t>
      </w:r>
      <w:r w:rsidR="00B11C09">
        <w:rPr>
          <w:sz w:val="20"/>
        </w:rPr>
        <w:t xml:space="preserve"> </w:t>
      </w:r>
      <w:r>
        <w:rPr>
          <w:sz w:val="20"/>
        </w:rPr>
        <w:t xml:space="preserve">2592 </w:t>
      </w:r>
    </w:p>
    <w:p w:rsidR="006772F4" w:rsidRDefault="00B11C09">
      <w:pPr>
        <w:spacing w:before="49" w:line="460" w:lineRule="exact"/>
        <w:ind w:left="225" w:right="451"/>
        <w:rPr>
          <w:sz w:val="20"/>
        </w:rPr>
      </w:pPr>
      <w:r>
        <w:rPr>
          <w:sz w:val="20"/>
        </w:rPr>
        <w:t>pe durată scurtă</w:t>
      </w:r>
      <w:r w:rsidR="00A216FB">
        <w:rPr>
          <w:sz w:val="20"/>
        </w:rPr>
        <w:t xml:space="preserve"> 155 °C,</w:t>
      </w:r>
    </w:p>
    <w:p w:rsidR="006772F4" w:rsidRDefault="00B11C09">
      <w:pPr>
        <w:spacing w:line="203" w:lineRule="exact"/>
        <w:ind w:left="225"/>
        <w:rPr>
          <w:sz w:val="20"/>
        </w:rPr>
      </w:pPr>
      <w:r>
        <w:rPr>
          <w:sz w:val="20"/>
        </w:rPr>
        <w:t xml:space="preserve">îndelungat până la </w:t>
      </w:r>
      <w:r w:rsidR="00A216FB">
        <w:rPr>
          <w:sz w:val="20"/>
        </w:rPr>
        <w:t>125</w:t>
      </w:r>
      <w:r w:rsidR="00A216FB">
        <w:rPr>
          <w:spacing w:val="-5"/>
          <w:sz w:val="20"/>
        </w:rPr>
        <w:t xml:space="preserve"> °C</w:t>
      </w:r>
    </w:p>
    <w:p w:rsidR="006772F4" w:rsidRDefault="00A216FB">
      <w:pPr>
        <w:spacing w:before="116"/>
        <w:ind w:left="225"/>
        <w:rPr>
          <w:sz w:val="20"/>
        </w:rPr>
      </w:pPr>
      <w:r>
        <w:rPr>
          <w:sz w:val="20"/>
        </w:rPr>
        <w:t>-20</w:t>
      </w:r>
      <w:r>
        <w:rPr>
          <w:spacing w:val="-5"/>
          <w:sz w:val="20"/>
        </w:rPr>
        <w:t xml:space="preserve"> °C</w:t>
      </w:r>
    </w:p>
    <w:p w:rsidR="006772F4" w:rsidRDefault="006772F4">
      <w:pPr>
        <w:pStyle w:val="BodyText"/>
        <w:rPr>
          <w:sz w:val="20"/>
        </w:rPr>
      </w:pPr>
    </w:p>
    <w:p w:rsidR="00B11C09" w:rsidRDefault="00B11C09">
      <w:pPr>
        <w:spacing w:before="1" w:line="480" w:lineRule="auto"/>
        <w:ind w:left="225" w:right="3482"/>
        <w:rPr>
          <w:spacing w:val="-2"/>
          <w:sz w:val="20"/>
        </w:rPr>
      </w:pPr>
      <w:r>
        <w:rPr>
          <w:spacing w:val="-2"/>
          <w:sz w:val="20"/>
        </w:rPr>
        <w:t>neutră</w:t>
      </w:r>
    </w:p>
    <w:p w:rsidR="006772F4" w:rsidRDefault="00B11C09">
      <w:pPr>
        <w:spacing w:before="1" w:line="480" w:lineRule="auto"/>
        <w:ind w:left="225" w:right="3482"/>
        <w:rPr>
          <w:sz w:val="20"/>
        </w:rPr>
      </w:pPr>
      <w:r>
        <w:rPr>
          <w:spacing w:val="-2"/>
          <w:sz w:val="20"/>
        </w:rPr>
        <w:t>infiltrare</w:t>
      </w:r>
      <w:r w:rsidR="00A216FB">
        <w:rPr>
          <w:spacing w:val="-2"/>
          <w:sz w:val="20"/>
        </w:rPr>
        <w:t xml:space="preserve"> </w:t>
      </w:r>
      <w:r w:rsidR="00A216FB">
        <w:rPr>
          <w:sz w:val="20"/>
        </w:rPr>
        <w:t>1-2</w:t>
      </w:r>
      <w:r w:rsidR="00A216FB">
        <w:rPr>
          <w:spacing w:val="-5"/>
          <w:sz w:val="20"/>
        </w:rPr>
        <w:t>μm</w:t>
      </w:r>
    </w:p>
    <w:p w:rsidR="006772F4" w:rsidRDefault="00B11C09">
      <w:pPr>
        <w:ind w:left="225"/>
        <w:rPr>
          <w:sz w:val="20"/>
        </w:rPr>
      </w:pPr>
      <w:r>
        <w:rPr>
          <w:sz w:val="20"/>
        </w:rPr>
        <w:t xml:space="preserve">aprox. </w:t>
      </w:r>
      <w:r w:rsidR="00A216FB">
        <w:rPr>
          <w:sz w:val="20"/>
        </w:rPr>
        <w:t>100</w:t>
      </w:r>
      <w:r w:rsidR="00A216FB">
        <w:rPr>
          <w:spacing w:val="-4"/>
          <w:sz w:val="20"/>
        </w:rPr>
        <w:t>m</w:t>
      </w:r>
      <w:r w:rsidR="00A216FB">
        <w:rPr>
          <w:spacing w:val="-4"/>
          <w:position w:val="6"/>
          <w:sz w:val="13"/>
        </w:rPr>
        <w:t>2</w:t>
      </w:r>
      <w:r w:rsidR="00A216FB">
        <w:rPr>
          <w:spacing w:val="-4"/>
          <w:sz w:val="20"/>
        </w:rPr>
        <w:t>/l</w:t>
      </w:r>
    </w:p>
    <w:p w:rsidR="006772F4" w:rsidRDefault="00A216FB">
      <w:pPr>
        <w:spacing w:before="228"/>
        <w:ind w:left="225"/>
        <w:rPr>
          <w:sz w:val="13"/>
        </w:rPr>
      </w:pPr>
      <w:r>
        <w:rPr>
          <w:sz w:val="20"/>
        </w:rPr>
        <w:t>25</w:t>
      </w:r>
      <w:r>
        <w:rPr>
          <w:spacing w:val="-2"/>
          <w:sz w:val="20"/>
        </w:rPr>
        <w:t>N/mm</w:t>
      </w:r>
      <w:r>
        <w:rPr>
          <w:spacing w:val="-2"/>
          <w:position w:val="6"/>
          <w:sz w:val="13"/>
        </w:rPr>
        <w:t>2</w:t>
      </w:r>
    </w:p>
    <w:p w:rsidR="006772F4" w:rsidRDefault="00B11C09">
      <w:pPr>
        <w:spacing w:before="186"/>
        <w:ind w:left="225"/>
        <w:rPr>
          <w:sz w:val="20"/>
        </w:rPr>
      </w:pPr>
      <w:r>
        <w:rPr>
          <w:sz w:val="20"/>
        </w:rPr>
        <w:t xml:space="preserve">Nu </w:t>
      </w:r>
      <w:r w:rsidR="00132E0A">
        <w:rPr>
          <w:sz w:val="20"/>
        </w:rPr>
        <w:t>gumează</w:t>
      </w:r>
      <w:r>
        <w:rPr>
          <w:sz w:val="20"/>
        </w:rPr>
        <w:t>, pelicula nu se întărește</w:t>
      </w:r>
    </w:p>
    <w:p w:rsidR="006772F4" w:rsidRDefault="006772F4">
      <w:pPr>
        <w:rPr>
          <w:sz w:val="20"/>
        </w:rPr>
        <w:sectPr w:rsidR="006772F4">
          <w:type w:val="continuous"/>
          <w:pgSz w:w="11910" w:h="16850"/>
          <w:pgMar w:top="2000" w:right="360" w:bottom="1240" w:left="980" w:header="299" w:footer="1053" w:gutter="0"/>
          <w:cols w:num="2" w:space="720" w:equalWidth="0">
            <w:col w:w="5776" w:space="244"/>
            <w:col w:w="4550"/>
          </w:cols>
        </w:sectPr>
      </w:pPr>
    </w:p>
    <w:p w:rsidR="006772F4" w:rsidRDefault="006772F4">
      <w:pPr>
        <w:pStyle w:val="BodyText"/>
        <w:spacing w:before="407"/>
        <w:rPr>
          <w:sz w:val="36"/>
        </w:rPr>
      </w:pPr>
    </w:p>
    <w:p w:rsidR="006772F4" w:rsidRDefault="006772F4">
      <w:pPr>
        <w:ind w:left="3192" w:right="448"/>
        <w:jc w:val="center"/>
        <w:rPr>
          <w:b/>
          <w:sz w:val="36"/>
        </w:rPr>
      </w:pPr>
      <w:r w:rsidRPr="006772F4">
        <w:pict>
          <v:group id="docshapegroup12" o:spid="_x0000_s1026" style="position:absolute;left:0;text-align:left;margin-left:69.6pt;margin-top:-21.7pt;width:307.95pt;height:40.6pt;z-index:15729152;mso-position-horizontal-relative:page" coordorigin="1392,-434" coordsize="6159,812">
            <v:shape id="docshape13" o:spid="_x0000_s1029" type="#_x0000_t75" style="position:absolute;left:1392;top:-434;width:6159;height:812">
              <v:imagedata r:id="rId13" o:title=""/>
            </v:shape>
            <v:shape id="docshape14" o:spid="_x0000_s1028" type="#_x0000_t75" style="position:absolute;left:5211;top:-333;width:448;height:230">
              <v:imagedata r:id="rId9" o:title=""/>
            </v:shape>
            <v:shape id="docshape15" o:spid="_x0000_s1027" type="#_x0000_t75" alt="NSF_LubriFood-Gelb" style="position:absolute;left:5353;top:-333;width:209;height:186">
              <v:imagedata r:id="rId10" o:title=""/>
            </v:shape>
            <w10:wrap anchorx="page"/>
          </v:group>
        </w:pict>
      </w:r>
      <w:r w:rsidR="00A216FB">
        <w:rPr>
          <w:b/>
          <w:spacing w:val="-10"/>
          <w:sz w:val="36"/>
        </w:rPr>
        <w:t>,</w:t>
      </w:r>
    </w:p>
    <w:p w:rsidR="006772F4" w:rsidRDefault="00132E0A">
      <w:pPr>
        <w:pStyle w:val="Heading1"/>
        <w:ind w:left="438"/>
      </w:pPr>
      <w:r>
        <w:t>Lubrifiant high-tech pentru uz general în industria alimentară</w:t>
      </w:r>
    </w:p>
    <w:p w:rsidR="006772F4" w:rsidRDefault="00A216FB">
      <w:pPr>
        <w:spacing w:before="276"/>
        <w:ind w:left="369"/>
        <w:rPr>
          <w:b/>
          <w:sz w:val="24"/>
        </w:rPr>
      </w:pPr>
      <w:r>
        <w:rPr>
          <w:b/>
          <w:sz w:val="24"/>
        </w:rPr>
        <w:t>BRUNOXAG,Tunnelstrasse6,CH–8732</w:t>
      </w:r>
      <w:r>
        <w:rPr>
          <w:b/>
          <w:spacing w:val="-2"/>
          <w:sz w:val="24"/>
        </w:rPr>
        <w:t>Neuhaus/SG,</w:t>
      </w:r>
    </w:p>
    <w:p w:rsidR="006772F4" w:rsidRDefault="00A216FB">
      <w:pPr>
        <w:ind w:left="369"/>
        <w:rPr>
          <w:b/>
          <w:sz w:val="24"/>
        </w:rPr>
      </w:pPr>
      <w:r>
        <w:rPr>
          <w:b/>
          <w:sz w:val="24"/>
        </w:rPr>
        <w:t>BRUNOXKorrosionsschutzGmbH,Postfach100127,DE–85001</w:t>
      </w:r>
      <w:r>
        <w:rPr>
          <w:b/>
          <w:spacing w:val="-2"/>
          <w:sz w:val="24"/>
        </w:rPr>
        <w:t>Ingolstadt</w:t>
      </w:r>
    </w:p>
    <w:p w:rsidR="00132E0A" w:rsidRDefault="00132E0A" w:rsidP="00132E0A">
      <w:pPr>
        <w:spacing w:line="239" w:lineRule="auto"/>
        <w:ind w:left="480" w:right="820"/>
        <w:rPr>
          <w:sz w:val="20"/>
          <w:szCs w:val="20"/>
        </w:rPr>
      </w:pPr>
      <w:r>
        <w:rPr>
          <w:sz w:val="16"/>
          <w:szCs w:val="16"/>
        </w:rPr>
        <w:t xml:space="preserve">Informația conținută în acest document se bazează pe cunoștințele și experiența noastră actuale. Nu îi absolvă pe procesatori de obligați de a testa produsul înainte de utilizare, dat fiind multitudinea de factori care pot influența procesarea și aplicarea produsului nostru. Fără acceptul prealabil al BRUNOX AG / GmbH, nicio parte a acestei publicații nu poate fi utilizată electronic, copiată mecanic, reproddusă, transmisă sau stocată. Această fișă tehnică și conținutul său  (informația) constituie proprietate intelectuală a BRUNOX AG / GmbH. Nu se acordă licențe; informația este destinată exclusiv informării în legătură cu produsul corespunzător. Drepturile de proprietate intelectuală aparțin BRUNOX AG / GmbH. Informația se poate modifica fără notificare prealabilă, înlocuind toate specificațiile tehnice furnizate anterior. BRUNOX AG / GmbH nu își asumă nicio răspundere pentru corectitudinea sau caracterul complet și nu acceptă nicio răspundere pentru daunele materile sau imateriale provocate de utilizarea sau neutilizarea informațiilor prezentate sau a utilizării incorecte sau incomplete a informațiilor. Procesatorii trebuie să verifice informația și produsul conform scopului lor. Aceștia nu trebuie să facă supoziții privind caracterul adecvat pe baza informațiilor incluse sau omise. BRUNOX AG / GmbH nu își asumă răspunderea pentru pierderea sau deteriorarea rezultată din încrederea în informația prezentată și utlizarea ei (inclusiv răspunderea rezultată din negllijență sau în cazul în care BRUNOX AG / GmbH avea cunoștință că o astfel de posiilitate există). Răspunderea BRUNOX AG / GmbH rămâne neafectată în caz de deces sau vătămare corporală rezultate din neglijență.  </w:t>
      </w:r>
    </w:p>
    <w:p w:rsidR="00132E0A" w:rsidRDefault="00132E0A" w:rsidP="00132E0A">
      <w:pPr>
        <w:spacing w:line="187" w:lineRule="exact"/>
        <w:rPr>
          <w:sz w:val="20"/>
          <w:szCs w:val="20"/>
        </w:rPr>
      </w:pPr>
    </w:p>
    <w:p w:rsidR="00132E0A" w:rsidRDefault="00132E0A" w:rsidP="00132E0A">
      <w:pPr>
        <w:ind w:firstLine="480"/>
        <w:rPr>
          <w:sz w:val="20"/>
          <w:szCs w:val="20"/>
        </w:rPr>
      </w:pPr>
      <w:r>
        <w:rPr>
          <w:sz w:val="16"/>
          <w:szCs w:val="16"/>
        </w:rPr>
        <w:t>BRUNOX ® este o marcă înregistrată a BRUNOX AG Switzerland.</w:t>
      </w:r>
    </w:p>
    <w:p w:rsidR="006772F4" w:rsidRDefault="006772F4">
      <w:pPr>
        <w:pStyle w:val="BodyText"/>
        <w:spacing w:before="1"/>
        <w:ind w:left="369"/>
      </w:pPr>
    </w:p>
    <w:sectPr w:rsidR="006772F4" w:rsidSect="006772F4">
      <w:type w:val="continuous"/>
      <w:pgSz w:w="11910" w:h="16850"/>
      <w:pgMar w:top="2000" w:right="360" w:bottom="1240" w:left="980" w:header="299" w:footer="10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FB" w:rsidRDefault="00A216FB" w:rsidP="006772F4">
      <w:r>
        <w:separator/>
      </w:r>
    </w:p>
  </w:endnote>
  <w:endnote w:type="continuationSeparator" w:id="1">
    <w:p w:rsidR="00A216FB" w:rsidRDefault="00A216FB" w:rsidP="0067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2F4" w:rsidRDefault="006772F4">
    <w:pPr>
      <w:pStyle w:val="BodyText"/>
      <w:spacing w:line="14" w:lineRule="auto"/>
      <w:rPr>
        <w:sz w:val="20"/>
      </w:rPr>
    </w:pPr>
    <w:r w:rsidRPr="006772F4">
      <w:pict>
        <v:shape id="docshape1" o:spid="_x0000_s2052" style="position:absolute;margin-left:.75pt;margin-top:785.8pt;width:593.7pt;height:11.5pt;z-index:-15814656;mso-position-horizontal-relative:page;mso-position-vertical-relative:page" coordorigin="15,15716" coordsize="11874,230" o:spt="100" adj="0,,0" path="m11889,15946r-611,l11278,15716r-610,m15,15946r10310,l10325,15716r343,e" filled="f" strokecolor="#a4a4a4">
          <v:stroke joinstyle="round"/>
          <v:formulas/>
          <v:path arrowok="t" o:connecttype="segments"/>
          <w10:wrap anchorx="page" anchory="page"/>
        </v:shape>
      </w:pict>
    </w:r>
    <w:r w:rsidRPr="006772F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69.95pt;margin-top:778.4pt;width:192.35pt;height:13.7pt;z-index:-15814144;mso-position-horizontal-relative:page;mso-position-vertical-relative:page" filled="f" stroked="f">
          <v:textbox inset="0,0,0,0">
            <w:txbxContent>
              <w:p w:rsidR="006772F4" w:rsidRDefault="00A216FB">
                <w:pPr>
                  <w:spacing w:before="19"/>
                  <w:ind w:left="20"/>
                  <w:rPr>
                    <w:rFonts w:ascii="Cambria" w:hAnsi="Cambria"/>
                    <w:sz w:val="13"/>
                  </w:rPr>
                </w:pPr>
                <w:r>
                  <w:rPr>
                    <w:rFonts w:ascii="Cambria" w:hAnsi="Cambria"/>
                    <w:sz w:val="20"/>
                  </w:rPr>
                  <w:t>TechnicalDataSheetBRUNOX</w:t>
                </w:r>
                <w:r>
                  <w:rPr>
                    <w:rFonts w:ascii="Cambria" w:hAnsi="Cambria"/>
                    <w:position w:val="5"/>
                    <w:sz w:val="13"/>
                  </w:rPr>
                  <w:t>®</w:t>
                </w:r>
                <w:r>
                  <w:rPr>
                    <w:rFonts w:ascii="Cambria" w:hAnsi="Cambria"/>
                    <w:sz w:val="20"/>
                  </w:rPr>
                  <w:t>Lubri-</w:t>
                </w:r>
                <w:r>
                  <w:rPr>
                    <w:rFonts w:ascii="Cambria" w:hAnsi="Cambria"/>
                    <w:spacing w:val="-4"/>
                    <w:sz w:val="20"/>
                  </w:rPr>
                  <w:t>Food</w:t>
                </w:r>
                <w:r>
                  <w:rPr>
                    <w:rFonts w:ascii="Cambria" w:hAnsi="Cambria"/>
                    <w:spacing w:val="-4"/>
                    <w:position w:val="5"/>
                    <w:sz w:val="13"/>
                  </w:rPr>
                  <w:t>®</w:t>
                </w:r>
              </w:p>
            </w:txbxContent>
          </v:textbox>
          <w10:wrap anchorx="page" anchory="page"/>
        </v:shape>
      </w:pict>
    </w:r>
    <w:r w:rsidRPr="006772F4">
      <w:pict>
        <v:shape id="docshape3" o:spid="_x0000_s2050" type="#_x0000_t202" style="position:absolute;margin-left:392.45pt;margin-top:779pt;width:98.25pt;height:13.05pt;z-index:-15813632;mso-position-horizontal-relative:page;mso-position-vertical-relative:page" filled="f" stroked="f">
          <v:textbox inset="0,0,0,0">
            <w:txbxContent>
              <w:p w:rsidR="006772F4" w:rsidRDefault="00A216FB">
                <w:pPr>
                  <w:spacing w:before="10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BL/LI//blj–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>12.04.2016</w:t>
                </w:r>
              </w:p>
            </w:txbxContent>
          </v:textbox>
          <w10:wrap anchorx="page" anchory="page"/>
        </v:shape>
      </w:pict>
    </w:r>
    <w:r w:rsidRPr="006772F4">
      <w:pict>
        <v:shape id="docshape4" o:spid="_x0000_s2049" type="#_x0000_t202" style="position:absolute;margin-left:534.7pt;margin-top:785.8pt;width:12pt;height:13.05pt;z-index:-15813120;mso-position-horizontal-relative:page;mso-position-vertical-relative:page" filled="f" stroked="f">
          <v:textbox inset="0,0,0,0">
            <w:txbxContent>
              <w:p w:rsidR="006772F4" w:rsidRDefault="006772F4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8B8B8B"/>
                    <w:spacing w:val="-10"/>
                    <w:sz w:val="20"/>
                  </w:rPr>
                  <w:fldChar w:fldCharType="begin"/>
                </w:r>
                <w:r w:rsidR="00A216FB">
                  <w:rPr>
                    <w:rFonts w:ascii="Times New Roman"/>
                    <w:color w:val="8B8B8B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color w:val="8B8B8B"/>
                    <w:spacing w:val="-10"/>
                    <w:sz w:val="20"/>
                  </w:rPr>
                  <w:fldChar w:fldCharType="separate"/>
                </w:r>
                <w:r w:rsidR="009F0393">
                  <w:rPr>
                    <w:rFonts w:ascii="Times New Roman"/>
                    <w:noProof/>
                    <w:color w:val="8B8B8B"/>
                    <w:spacing w:val="-10"/>
                    <w:sz w:val="20"/>
                  </w:rPr>
                  <w:t>4</w:t>
                </w:r>
                <w:r>
                  <w:rPr>
                    <w:rFonts w:ascii="Times New Roman"/>
                    <w:color w:val="8B8B8B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FB" w:rsidRDefault="00A216FB" w:rsidP="006772F4">
      <w:r>
        <w:separator/>
      </w:r>
    </w:p>
  </w:footnote>
  <w:footnote w:type="continuationSeparator" w:id="1">
    <w:p w:rsidR="00A216FB" w:rsidRDefault="00A216FB" w:rsidP="0067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2F4" w:rsidRDefault="00A216FB">
    <w:pPr>
      <w:pStyle w:val="BodyText"/>
      <w:spacing w:line="14" w:lineRule="auto"/>
      <w:rPr>
        <w:sz w:val="20"/>
      </w:rPr>
    </w:pPr>
    <w:r>
      <w:rPr>
        <w:noProof/>
        <w:lang w:eastAsia="ja-JP"/>
      </w:rPr>
      <w:drawing>
        <wp:anchor distT="0" distB="0" distL="0" distR="0" simplePos="0" relativeHeight="48750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189864</wp:posOffset>
          </wp:positionV>
          <wp:extent cx="7560564" cy="6219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621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3ECE"/>
    <w:multiLevelType w:val="hybridMultilevel"/>
    <w:tmpl w:val="4634B7D4"/>
    <w:lvl w:ilvl="0" w:tplc="CD8C0562">
      <w:start w:val="7"/>
      <w:numFmt w:val="decimal"/>
      <w:lvlText w:val="%1."/>
      <w:lvlJc w:val="left"/>
      <w:pPr>
        <w:ind w:left="462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3E23A6">
      <w:numFmt w:val="bullet"/>
      <w:lvlText w:val="•"/>
      <w:lvlJc w:val="left"/>
      <w:pPr>
        <w:ind w:left="1470" w:hanging="245"/>
      </w:pPr>
      <w:rPr>
        <w:rFonts w:hint="default"/>
        <w:lang w:val="en-US" w:eastAsia="en-US" w:bidi="ar-SA"/>
      </w:rPr>
    </w:lvl>
    <w:lvl w:ilvl="2" w:tplc="1506D8E0">
      <w:numFmt w:val="bullet"/>
      <w:lvlText w:val="•"/>
      <w:lvlJc w:val="left"/>
      <w:pPr>
        <w:ind w:left="2481" w:hanging="245"/>
      </w:pPr>
      <w:rPr>
        <w:rFonts w:hint="default"/>
        <w:lang w:val="en-US" w:eastAsia="en-US" w:bidi="ar-SA"/>
      </w:rPr>
    </w:lvl>
    <w:lvl w:ilvl="3" w:tplc="B5D8AAB0">
      <w:numFmt w:val="bullet"/>
      <w:lvlText w:val="•"/>
      <w:lvlJc w:val="left"/>
      <w:pPr>
        <w:ind w:left="3491" w:hanging="245"/>
      </w:pPr>
      <w:rPr>
        <w:rFonts w:hint="default"/>
        <w:lang w:val="en-US" w:eastAsia="en-US" w:bidi="ar-SA"/>
      </w:rPr>
    </w:lvl>
    <w:lvl w:ilvl="4" w:tplc="D61A2AB6">
      <w:numFmt w:val="bullet"/>
      <w:lvlText w:val="•"/>
      <w:lvlJc w:val="left"/>
      <w:pPr>
        <w:ind w:left="4502" w:hanging="245"/>
      </w:pPr>
      <w:rPr>
        <w:rFonts w:hint="default"/>
        <w:lang w:val="en-US" w:eastAsia="en-US" w:bidi="ar-SA"/>
      </w:rPr>
    </w:lvl>
    <w:lvl w:ilvl="5" w:tplc="F7DEB83C">
      <w:numFmt w:val="bullet"/>
      <w:lvlText w:val="•"/>
      <w:lvlJc w:val="left"/>
      <w:pPr>
        <w:ind w:left="5513" w:hanging="245"/>
      </w:pPr>
      <w:rPr>
        <w:rFonts w:hint="default"/>
        <w:lang w:val="en-US" w:eastAsia="en-US" w:bidi="ar-SA"/>
      </w:rPr>
    </w:lvl>
    <w:lvl w:ilvl="6" w:tplc="49E40DC8">
      <w:numFmt w:val="bullet"/>
      <w:lvlText w:val="•"/>
      <w:lvlJc w:val="left"/>
      <w:pPr>
        <w:ind w:left="6523" w:hanging="245"/>
      </w:pPr>
      <w:rPr>
        <w:rFonts w:hint="default"/>
        <w:lang w:val="en-US" w:eastAsia="en-US" w:bidi="ar-SA"/>
      </w:rPr>
    </w:lvl>
    <w:lvl w:ilvl="7" w:tplc="302422C4">
      <w:numFmt w:val="bullet"/>
      <w:lvlText w:val="•"/>
      <w:lvlJc w:val="left"/>
      <w:pPr>
        <w:ind w:left="7534" w:hanging="245"/>
      </w:pPr>
      <w:rPr>
        <w:rFonts w:hint="default"/>
        <w:lang w:val="en-US" w:eastAsia="en-US" w:bidi="ar-SA"/>
      </w:rPr>
    </w:lvl>
    <w:lvl w:ilvl="8" w:tplc="14902ACA">
      <w:numFmt w:val="bullet"/>
      <w:lvlText w:val="•"/>
      <w:lvlJc w:val="left"/>
      <w:pPr>
        <w:ind w:left="8545" w:hanging="245"/>
      </w:pPr>
      <w:rPr>
        <w:rFonts w:hint="default"/>
        <w:lang w:val="en-US" w:eastAsia="en-US" w:bidi="ar-SA"/>
      </w:rPr>
    </w:lvl>
  </w:abstractNum>
  <w:abstractNum w:abstractNumId="1">
    <w:nsid w:val="2D500037"/>
    <w:multiLevelType w:val="hybridMultilevel"/>
    <w:tmpl w:val="821CF024"/>
    <w:lvl w:ilvl="0" w:tplc="DDDCDB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68553B3"/>
    <w:multiLevelType w:val="hybridMultilevel"/>
    <w:tmpl w:val="5F3880E6"/>
    <w:lvl w:ilvl="0" w:tplc="9A3C6904">
      <w:numFmt w:val="bullet"/>
      <w:lvlText w:val="-"/>
      <w:lvlJc w:val="left"/>
      <w:pPr>
        <w:ind w:left="392" w:hanging="123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3EFA4902">
      <w:numFmt w:val="bullet"/>
      <w:lvlText w:val="•"/>
      <w:lvlJc w:val="left"/>
      <w:pPr>
        <w:ind w:left="1129" w:hanging="123"/>
      </w:pPr>
      <w:rPr>
        <w:rFonts w:hint="default"/>
        <w:lang w:val="en-US" w:eastAsia="en-US" w:bidi="ar-SA"/>
      </w:rPr>
    </w:lvl>
    <w:lvl w:ilvl="2" w:tplc="4404CFE4">
      <w:numFmt w:val="bullet"/>
      <w:lvlText w:val="•"/>
      <w:lvlJc w:val="left"/>
      <w:pPr>
        <w:ind w:left="1859" w:hanging="123"/>
      </w:pPr>
      <w:rPr>
        <w:rFonts w:hint="default"/>
        <w:lang w:val="en-US" w:eastAsia="en-US" w:bidi="ar-SA"/>
      </w:rPr>
    </w:lvl>
    <w:lvl w:ilvl="3" w:tplc="E69A1F3A">
      <w:numFmt w:val="bullet"/>
      <w:lvlText w:val="•"/>
      <w:lvlJc w:val="left"/>
      <w:pPr>
        <w:ind w:left="2589" w:hanging="123"/>
      </w:pPr>
      <w:rPr>
        <w:rFonts w:hint="default"/>
        <w:lang w:val="en-US" w:eastAsia="en-US" w:bidi="ar-SA"/>
      </w:rPr>
    </w:lvl>
    <w:lvl w:ilvl="4" w:tplc="52C49B48">
      <w:numFmt w:val="bullet"/>
      <w:lvlText w:val="•"/>
      <w:lvlJc w:val="left"/>
      <w:pPr>
        <w:ind w:left="3318" w:hanging="123"/>
      </w:pPr>
      <w:rPr>
        <w:rFonts w:hint="default"/>
        <w:lang w:val="en-US" w:eastAsia="en-US" w:bidi="ar-SA"/>
      </w:rPr>
    </w:lvl>
    <w:lvl w:ilvl="5" w:tplc="C1B4CEB2">
      <w:numFmt w:val="bullet"/>
      <w:lvlText w:val="•"/>
      <w:lvlJc w:val="left"/>
      <w:pPr>
        <w:ind w:left="4048" w:hanging="123"/>
      </w:pPr>
      <w:rPr>
        <w:rFonts w:hint="default"/>
        <w:lang w:val="en-US" w:eastAsia="en-US" w:bidi="ar-SA"/>
      </w:rPr>
    </w:lvl>
    <w:lvl w:ilvl="6" w:tplc="F850C776">
      <w:numFmt w:val="bullet"/>
      <w:lvlText w:val="•"/>
      <w:lvlJc w:val="left"/>
      <w:pPr>
        <w:ind w:left="4778" w:hanging="123"/>
      </w:pPr>
      <w:rPr>
        <w:rFonts w:hint="default"/>
        <w:lang w:val="en-US" w:eastAsia="en-US" w:bidi="ar-SA"/>
      </w:rPr>
    </w:lvl>
    <w:lvl w:ilvl="7" w:tplc="A87881FA">
      <w:numFmt w:val="bullet"/>
      <w:lvlText w:val="•"/>
      <w:lvlJc w:val="left"/>
      <w:pPr>
        <w:ind w:left="5507" w:hanging="123"/>
      </w:pPr>
      <w:rPr>
        <w:rFonts w:hint="default"/>
        <w:lang w:val="en-US" w:eastAsia="en-US" w:bidi="ar-SA"/>
      </w:rPr>
    </w:lvl>
    <w:lvl w:ilvl="8" w:tplc="C24ED82A">
      <w:numFmt w:val="bullet"/>
      <w:lvlText w:val="•"/>
      <w:lvlJc w:val="left"/>
      <w:pPr>
        <w:ind w:left="6237" w:hanging="12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772F4"/>
    <w:rsid w:val="00132E0A"/>
    <w:rsid w:val="00510298"/>
    <w:rsid w:val="006772F4"/>
    <w:rsid w:val="009F0393"/>
    <w:rsid w:val="00A216FB"/>
    <w:rsid w:val="00B11C09"/>
    <w:rsid w:val="00E1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72F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6772F4"/>
    <w:p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72F4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6772F4"/>
    <w:pPr>
      <w:ind w:left="462" w:hanging="2799"/>
    </w:pPr>
  </w:style>
  <w:style w:type="paragraph" w:customStyle="1" w:styleId="TableParagraph">
    <w:name w:val="Table Paragraph"/>
    <w:basedOn w:val="Normal"/>
    <w:uiPriority w:val="1"/>
    <w:qFormat/>
    <w:rsid w:val="006772F4"/>
    <w:pPr>
      <w:ind w:left="2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DellD-D</dc:creator>
  <cp:lastModifiedBy>Mirela Popescu</cp:lastModifiedBy>
  <cp:revision>3</cp:revision>
  <dcterms:created xsi:type="dcterms:W3CDTF">2024-01-31T06:58:00Z</dcterms:created>
  <dcterms:modified xsi:type="dcterms:W3CDTF">2024-01-31T07:59:00Z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2016</vt:lpwstr>
  </property>
</Properties>
</file>